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866A6" w14:textId="77777777" w:rsidR="005E5492" w:rsidRDefault="005E5492" w:rsidP="005E5492">
      <w:pPr>
        <w:rPr>
          <w:b/>
          <w:bCs/>
        </w:rPr>
      </w:pPr>
    </w:p>
    <w:p w14:paraId="2E1476F3" w14:textId="54243626" w:rsidR="005E5492" w:rsidRPr="005E5492" w:rsidRDefault="005E5492" w:rsidP="005E5492">
      <w:pPr>
        <w:jc w:val="center"/>
        <w:rPr>
          <w:b/>
          <w:bCs/>
        </w:rPr>
      </w:pPr>
      <w:r w:rsidRPr="005E5492">
        <w:rPr>
          <w:rStyle w:val="EntteCar"/>
        </w:rPr>
        <w:t>Plan d’Assurance Sécurité</w:t>
      </w:r>
    </w:p>
    <w:p w14:paraId="6833CA57" w14:textId="77777777" w:rsidR="00DF069F" w:rsidRDefault="00DF069F" w:rsidP="005E5492">
      <w:pPr>
        <w:rPr>
          <w:b/>
          <w:bCs/>
        </w:rPr>
      </w:pPr>
    </w:p>
    <w:p w14:paraId="622425DC" w14:textId="66190077" w:rsidR="005E5492" w:rsidRPr="005E5492" w:rsidRDefault="005E5492" w:rsidP="005E5492">
      <w:pPr>
        <w:rPr>
          <w:b/>
          <w:bCs/>
        </w:rPr>
      </w:pPr>
      <w:r w:rsidRPr="005E5492">
        <w:rPr>
          <w:b/>
          <w:bCs/>
        </w:rPr>
        <w:t xml:space="preserve">Les paragraphes </w:t>
      </w:r>
      <w:r w:rsidR="00DF069F">
        <w:rPr>
          <w:b/>
          <w:bCs/>
        </w:rPr>
        <w:t xml:space="preserve">ci-dessous </w:t>
      </w:r>
      <w:r w:rsidRPr="005E5492">
        <w:rPr>
          <w:b/>
          <w:bCs/>
        </w:rPr>
        <w:t>constituent des propositions de contenu du Plan d’Assurance Sécurité à fournir par le prestataire d’externalisation. Ils devront être adaptés selon la nature de l’opération d’externalisation.</w:t>
      </w:r>
    </w:p>
    <w:p w14:paraId="1FCD641B"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1. Objet du document</w:t>
      </w:r>
    </w:p>
    <w:p w14:paraId="25862AF7" w14:textId="2831E921" w:rsidR="005E5492" w:rsidRPr="005E5492" w:rsidRDefault="005E5492" w:rsidP="42C99601">
      <w:pPr>
        <w:rPr>
          <w:i/>
          <w:iCs/>
        </w:rPr>
      </w:pPr>
      <w:r w:rsidRPr="42C99601">
        <w:rPr>
          <w:i/>
          <w:iCs/>
        </w:rPr>
        <w:t xml:space="preserve">Ce document décrit les dispositions que &lt;le prestataire d’externalisation&gt; s'engage à mettre en </w:t>
      </w:r>
      <w:r w:rsidR="246E6D82" w:rsidRPr="42C99601">
        <w:rPr>
          <w:i/>
          <w:iCs/>
        </w:rPr>
        <w:t>œuvre</w:t>
      </w:r>
      <w:r w:rsidRPr="42C99601">
        <w:rPr>
          <w:i/>
          <w:iCs/>
        </w:rPr>
        <w:t xml:space="preserve"> pour répondre aux </w:t>
      </w:r>
      <w:r w:rsidR="009951A8" w:rsidRPr="42C99601">
        <w:rPr>
          <w:i/>
          <w:iCs/>
        </w:rPr>
        <w:t>exigences</w:t>
      </w:r>
      <w:r w:rsidRPr="42C99601">
        <w:rPr>
          <w:i/>
          <w:iCs/>
        </w:rPr>
        <w:t xml:space="preserve"> de sécurité de &lt;le client&gt;. Il définit en particulier l’organisation qui sera mise en place, </w:t>
      </w:r>
      <w:r w:rsidR="175F1EE4" w:rsidRPr="42C99601">
        <w:rPr>
          <w:i/>
          <w:iCs/>
        </w:rPr>
        <w:t>la méthodologie</w:t>
      </w:r>
      <w:r w:rsidRPr="42C99601">
        <w:rPr>
          <w:i/>
          <w:iCs/>
        </w:rPr>
        <w:t xml:space="preserve"> à suivre pour gérer la sécurité du projet d’externalisation et les mesures techniques, organisationnelles et procédurales qui seront mises en </w:t>
      </w:r>
      <w:r w:rsidR="7DF2A749" w:rsidRPr="42C99601">
        <w:rPr>
          <w:i/>
          <w:iCs/>
        </w:rPr>
        <w:t>œuvre</w:t>
      </w:r>
      <w:r w:rsidRPr="42C99601">
        <w:rPr>
          <w:i/>
          <w:iCs/>
        </w:rPr>
        <w:t>.</w:t>
      </w:r>
    </w:p>
    <w:p w14:paraId="272B0054" w14:textId="77777777" w:rsidR="005E5492" w:rsidRPr="005E5492" w:rsidRDefault="005E5492" w:rsidP="005E5492">
      <w:r w:rsidRPr="005E5492">
        <w:t>Le candidat précisera le circuit d’approbation du Plan d’Assurance Sécurité, ses modalités d’application et l’étendue de sa diffusion.</w:t>
      </w:r>
    </w:p>
    <w:p w14:paraId="37B84BA4" w14:textId="77777777" w:rsidR="005E5492" w:rsidRPr="001959C1" w:rsidRDefault="005E5492" w:rsidP="009604BA">
      <w:pPr>
        <w:pStyle w:val="Titre2"/>
        <w:numPr>
          <w:ilvl w:val="0"/>
          <w:numId w:val="0"/>
        </w:numPr>
        <w:ind w:left="792"/>
        <w:rPr>
          <w:b w:val="0"/>
          <w:bCs w:val="0"/>
          <w:color w:val="8FC2B0" w:themeColor="background2"/>
        </w:rPr>
      </w:pPr>
      <w:r w:rsidRPr="001959C1">
        <w:rPr>
          <w:color w:val="8FC2B0" w:themeColor="background2"/>
        </w:rPr>
        <w:t>2</w:t>
      </w:r>
      <w:r w:rsidRPr="001959C1">
        <w:rPr>
          <w:rStyle w:val="Titre2Car"/>
          <w:color w:val="8FC2B0" w:themeColor="background2"/>
        </w:rPr>
        <w:t>.</w:t>
      </w:r>
      <w:r w:rsidRPr="001959C1">
        <w:rPr>
          <w:rStyle w:val="Titre2Car"/>
          <w:b/>
          <w:bCs/>
          <w:color w:val="8FC2B0" w:themeColor="background2"/>
        </w:rPr>
        <w:t xml:space="preserve"> Documents de référence</w:t>
      </w:r>
    </w:p>
    <w:p w14:paraId="343AA41A" w14:textId="77777777" w:rsidR="005E5492" w:rsidRPr="005E5492" w:rsidRDefault="005E5492" w:rsidP="005E5492">
      <w:r w:rsidRPr="005E5492">
        <w:t>Ce paragraphe liste les documents de référence pour le Plan d’Assurance Sécurité.</w:t>
      </w:r>
    </w:p>
    <w:p w14:paraId="48B644E6" w14:textId="77777777" w:rsidR="005E5492" w:rsidRPr="005E5492" w:rsidRDefault="005E5492" w:rsidP="005E5492">
      <w:r w:rsidRPr="005E5492">
        <w:t>À titre d’exemple, les documents applicables peuvent être les suivants :</w:t>
      </w:r>
    </w:p>
    <w:p w14:paraId="137E0206" w14:textId="05F26F64" w:rsidR="005E5492" w:rsidRPr="005E5492" w:rsidRDefault="6AB2FD8C" w:rsidP="005E5492">
      <w:pPr>
        <w:pStyle w:val="Paragraphedeliste"/>
        <w:numPr>
          <w:ilvl w:val="0"/>
          <w:numId w:val="12"/>
        </w:numPr>
      </w:pPr>
      <w:r>
        <w:t>Le</w:t>
      </w:r>
      <w:r w:rsidR="005E5492">
        <w:t xml:space="preserve"> contrat ;</w:t>
      </w:r>
    </w:p>
    <w:p w14:paraId="64206B2E" w14:textId="74AA5FC3" w:rsidR="005E5492" w:rsidRPr="005E5492" w:rsidRDefault="3F48BEB0" w:rsidP="005E5492">
      <w:pPr>
        <w:pStyle w:val="Paragraphedeliste"/>
        <w:numPr>
          <w:ilvl w:val="0"/>
          <w:numId w:val="12"/>
        </w:numPr>
      </w:pPr>
      <w:r>
        <w:t>Le</w:t>
      </w:r>
      <w:r w:rsidR="005E5492">
        <w:t xml:space="preserve"> cahier des charges, incluant les exigences de sécurité du client ;</w:t>
      </w:r>
    </w:p>
    <w:p w14:paraId="4ABCBD18" w14:textId="2756A70B" w:rsidR="005E5492" w:rsidRPr="005E5492" w:rsidRDefault="679720D2" w:rsidP="005E5492">
      <w:pPr>
        <w:pStyle w:val="Paragraphedeliste"/>
        <w:numPr>
          <w:ilvl w:val="0"/>
          <w:numId w:val="12"/>
        </w:numPr>
      </w:pPr>
      <w:r>
        <w:t>Le</w:t>
      </w:r>
      <w:r w:rsidR="005E5492">
        <w:t xml:space="preserve"> plan d’assurance qualité ;</w:t>
      </w:r>
    </w:p>
    <w:p w14:paraId="45AF2573" w14:textId="77777777" w:rsidR="005E5492" w:rsidRPr="005E5492" w:rsidRDefault="005E5492" w:rsidP="005E5492">
      <w:pPr>
        <w:pStyle w:val="Paragraphedeliste"/>
        <w:numPr>
          <w:ilvl w:val="0"/>
          <w:numId w:val="12"/>
        </w:numPr>
      </w:pPr>
      <w:r w:rsidRPr="005E5492">
        <w:t>etc.</w:t>
      </w:r>
    </w:p>
    <w:p w14:paraId="6B3C7D8C"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3. Description du système externalisé</w:t>
      </w:r>
    </w:p>
    <w:p w14:paraId="0AA95CB9" w14:textId="77777777" w:rsidR="005E5492" w:rsidRPr="005E5492" w:rsidRDefault="005E5492" w:rsidP="005E5492">
      <w:r w:rsidRPr="005E5492">
        <w:t>Ce paragraphe présente succinctement le système faisant l’objet de l’opération d’externalisation. L’accent sera mis sur les points qui justifient la mise en œuvre de mesures de sécurité.</w:t>
      </w:r>
    </w:p>
    <w:p w14:paraId="1E56D83C"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4. Rappel des exigences</w:t>
      </w:r>
    </w:p>
    <w:p w14:paraId="04B24407" w14:textId="77777777" w:rsidR="005E5492" w:rsidRPr="005E5492" w:rsidRDefault="005E5492" w:rsidP="005E5492">
      <w:r w:rsidRPr="005E5492">
        <w:t>Le candidat rappellera les exigences de sécurité du client ou fera référence au document les spécifiant.</w:t>
      </w:r>
    </w:p>
    <w:p w14:paraId="45E865EF"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5. Organisation</w:t>
      </w:r>
    </w:p>
    <w:p w14:paraId="7F9B4DCC" w14:textId="77777777" w:rsidR="005E5492" w:rsidRPr="005E5492" w:rsidRDefault="005E5492" w:rsidP="005E5492">
      <w:r w:rsidRPr="005E5492">
        <w:t>Le candidat indiquera l’organisation qu'il propose pour gérer la sécurité dans le projet d’externalisation.</w:t>
      </w:r>
    </w:p>
    <w:p w14:paraId="0404925C" w14:textId="77777777" w:rsidR="005E5492" w:rsidRPr="005E5492" w:rsidRDefault="005E5492" w:rsidP="005E5492">
      <w:r w:rsidRPr="005E5492">
        <w:t>On y trouve au minimum :</w:t>
      </w:r>
    </w:p>
    <w:p w14:paraId="3E6F81A7" w14:textId="66690A9F" w:rsidR="005E5492" w:rsidRPr="005E5492" w:rsidRDefault="73B24899" w:rsidP="005E5492">
      <w:pPr>
        <w:pStyle w:val="Paragraphedeliste"/>
        <w:numPr>
          <w:ilvl w:val="0"/>
          <w:numId w:val="11"/>
        </w:numPr>
      </w:pPr>
      <w:r>
        <w:t>Le</w:t>
      </w:r>
      <w:r w:rsidR="005E5492">
        <w:t xml:space="preserve"> maître d’ouvrage agissant en tant que client ;</w:t>
      </w:r>
    </w:p>
    <w:p w14:paraId="56CDC047" w14:textId="7EA923BC" w:rsidR="005E5492" w:rsidRDefault="261976C6" w:rsidP="005E5492">
      <w:pPr>
        <w:pStyle w:val="Paragraphedeliste"/>
        <w:numPr>
          <w:ilvl w:val="0"/>
          <w:numId w:val="11"/>
        </w:numPr>
      </w:pPr>
      <w:r>
        <w:t>Le</w:t>
      </w:r>
      <w:r w:rsidR="005E5492">
        <w:t xml:space="preserve"> prestataire d’externalisation.</w:t>
      </w:r>
    </w:p>
    <w:p w14:paraId="77D8D567" w14:textId="77777777" w:rsidR="001959C1" w:rsidRDefault="001959C1" w:rsidP="001959C1"/>
    <w:p w14:paraId="721BDA92" w14:textId="77777777" w:rsidR="001959C1" w:rsidRPr="005E5492" w:rsidRDefault="001959C1" w:rsidP="001959C1"/>
    <w:p w14:paraId="2E56511D" w14:textId="77777777" w:rsidR="005E5492" w:rsidRPr="005E5492" w:rsidRDefault="005E5492" w:rsidP="005E5492">
      <w:r w:rsidRPr="005E5492">
        <w:t>Si des co-traitants, sous-traitants ou fournisseurs peuvent intervenir directement, il indiquera leur rôle et précisera éventuellement les modalités de leur participation à la gestion de la sécurité du projet.</w:t>
      </w:r>
    </w:p>
    <w:p w14:paraId="40729FE6" w14:textId="77777777" w:rsidR="005E5492" w:rsidRPr="005E5492" w:rsidRDefault="005E5492" w:rsidP="005E5492">
      <w:r w:rsidRPr="005E5492">
        <w:t>Il décrira l’organisation mise en place pour assurer les relations avec le maître d’ouvrage concernant les aspects sécurité :</w:t>
      </w:r>
    </w:p>
    <w:p w14:paraId="086D16A5" w14:textId="55B72160" w:rsidR="005E5492" w:rsidRPr="005E5492" w:rsidRDefault="41B07D9D" w:rsidP="005E5492">
      <w:pPr>
        <w:pStyle w:val="Paragraphedeliste"/>
        <w:numPr>
          <w:ilvl w:val="0"/>
          <w:numId w:val="10"/>
        </w:numPr>
      </w:pPr>
      <w:r>
        <w:t>Comité</w:t>
      </w:r>
      <w:r w:rsidR="005E5492">
        <w:t xml:space="preserve"> de suivi de la sécurité : fréquence, participants, modalités,</w:t>
      </w:r>
    </w:p>
    <w:p w14:paraId="5C0A747B" w14:textId="3D0E1E5D" w:rsidR="005E5492" w:rsidRPr="005E5492" w:rsidRDefault="723B2826" w:rsidP="005E5492">
      <w:pPr>
        <w:pStyle w:val="Paragraphedeliste"/>
        <w:numPr>
          <w:ilvl w:val="0"/>
          <w:numId w:val="10"/>
        </w:numPr>
      </w:pPr>
      <w:r>
        <w:t>Périmètre</w:t>
      </w:r>
      <w:r w:rsidR="005E5492">
        <w:t xml:space="preserve"> du suivi ;</w:t>
      </w:r>
    </w:p>
    <w:p w14:paraId="182389E6" w14:textId="714C1ECB" w:rsidR="005E5492" w:rsidRPr="005E5492" w:rsidRDefault="736E691A" w:rsidP="005E5492">
      <w:pPr>
        <w:pStyle w:val="Paragraphedeliste"/>
        <w:numPr>
          <w:ilvl w:val="0"/>
          <w:numId w:val="10"/>
        </w:numPr>
      </w:pPr>
      <w:r>
        <w:t>Organisation</w:t>
      </w:r>
      <w:r w:rsidR="005E5492">
        <w:t xml:space="preserve"> de la maîtrise d’ouvrage : responsable sécurité, rôle et</w:t>
      </w:r>
    </w:p>
    <w:p w14:paraId="266DEFA8" w14:textId="1DD5461E" w:rsidR="005E5492" w:rsidRPr="005E5492" w:rsidRDefault="1B412E31" w:rsidP="005E5492">
      <w:pPr>
        <w:pStyle w:val="Paragraphedeliste"/>
        <w:numPr>
          <w:ilvl w:val="0"/>
          <w:numId w:val="10"/>
        </w:numPr>
      </w:pPr>
      <w:r>
        <w:t>Moyens</w:t>
      </w:r>
      <w:r w:rsidR="005E5492">
        <w:t xml:space="preserve"> ; intervenants techniques ;</w:t>
      </w:r>
    </w:p>
    <w:p w14:paraId="628FD539" w14:textId="0355D845" w:rsidR="005E5492" w:rsidRPr="005E5492" w:rsidRDefault="68D847FF" w:rsidP="005E5492">
      <w:pPr>
        <w:pStyle w:val="Paragraphedeliste"/>
        <w:numPr>
          <w:ilvl w:val="0"/>
          <w:numId w:val="10"/>
        </w:numPr>
      </w:pPr>
      <w:r>
        <w:t>Organisation</w:t>
      </w:r>
      <w:r w:rsidR="005E5492">
        <w:t xml:space="preserve"> du prestataire : responsable sécurité, rôle et moyens ;</w:t>
      </w:r>
    </w:p>
    <w:p w14:paraId="42F3D9B4" w14:textId="690A2EDC" w:rsidR="005E5492" w:rsidRPr="005E5492" w:rsidRDefault="17EA83B6" w:rsidP="005E5492">
      <w:pPr>
        <w:pStyle w:val="Paragraphedeliste"/>
        <w:numPr>
          <w:ilvl w:val="0"/>
          <w:numId w:val="10"/>
        </w:numPr>
      </w:pPr>
      <w:r>
        <w:t>Responsables</w:t>
      </w:r>
      <w:r w:rsidR="005E5492">
        <w:t xml:space="preserve"> techniques, implication des co-traitants et sous-traitants</w:t>
      </w:r>
    </w:p>
    <w:p w14:paraId="1FF39ABF" w14:textId="41B38CB1" w:rsidR="005E5492" w:rsidRPr="005E5492" w:rsidRDefault="3274A217" w:rsidP="005E5492">
      <w:pPr>
        <w:pStyle w:val="Paragraphedeliste"/>
        <w:numPr>
          <w:ilvl w:val="0"/>
          <w:numId w:val="10"/>
        </w:numPr>
      </w:pPr>
      <w:r>
        <w:t>Éventuels</w:t>
      </w:r>
      <w:r w:rsidR="005E5492">
        <w:t xml:space="preserve"> ;</w:t>
      </w:r>
    </w:p>
    <w:p w14:paraId="5F844862" w14:textId="28590861" w:rsidR="005E5492" w:rsidRPr="005E5492" w:rsidRDefault="7B2EFE09" w:rsidP="005E5492">
      <w:pPr>
        <w:pStyle w:val="Paragraphedeliste"/>
        <w:numPr>
          <w:ilvl w:val="0"/>
          <w:numId w:val="10"/>
        </w:numPr>
      </w:pPr>
      <w:r>
        <w:t>Diffusion</w:t>
      </w:r>
      <w:r w:rsidR="005E5492">
        <w:t xml:space="preserve"> du Plan d’assurance sécurité et des documents de suivi ;</w:t>
      </w:r>
    </w:p>
    <w:p w14:paraId="70D9BDE0" w14:textId="6EBEF13B" w:rsidR="005E5492" w:rsidRPr="005E5492" w:rsidRDefault="0A62D6F0" w:rsidP="005E5492">
      <w:pPr>
        <w:pStyle w:val="Paragraphedeliste"/>
        <w:numPr>
          <w:ilvl w:val="0"/>
          <w:numId w:val="10"/>
        </w:numPr>
      </w:pPr>
      <w:r>
        <w:t>Audits</w:t>
      </w:r>
      <w:r w:rsidR="005E5492">
        <w:t>, contrôles réalisés par la maîtrise d’ouvrage ou à la demande de</w:t>
      </w:r>
    </w:p>
    <w:p w14:paraId="6C563841" w14:textId="2E570EC6" w:rsidR="005E5492" w:rsidRPr="005E5492" w:rsidRDefault="15ACF626" w:rsidP="005E5492">
      <w:pPr>
        <w:pStyle w:val="Paragraphedeliste"/>
        <w:numPr>
          <w:ilvl w:val="0"/>
          <w:numId w:val="10"/>
        </w:numPr>
      </w:pPr>
      <w:r>
        <w:t>Celle</w:t>
      </w:r>
      <w:r w:rsidR="005E5492">
        <w:t>-ci : modalités, périmètre, exploitation des résultats.</w:t>
      </w:r>
    </w:p>
    <w:p w14:paraId="42B8F572" w14:textId="77777777" w:rsidR="005E5492" w:rsidRPr="005E5492" w:rsidRDefault="005E5492" w:rsidP="005E5492">
      <w:pPr>
        <w:rPr>
          <w:i/>
          <w:iCs/>
        </w:rPr>
      </w:pPr>
    </w:p>
    <w:p w14:paraId="4CACFC8A" w14:textId="0DCB8713" w:rsidR="005E5492" w:rsidRPr="005E5492" w:rsidRDefault="005E5492" w:rsidP="42C99601">
      <w:pPr>
        <w:rPr>
          <w:i/>
          <w:iCs/>
        </w:rPr>
      </w:pPr>
      <w:r w:rsidRPr="42C99601">
        <w:rPr>
          <w:i/>
          <w:iCs/>
        </w:rPr>
        <w:t>Organisation de la maîtrise d’</w:t>
      </w:r>
      <w:r w:rsidR="78237A1D" w:rsidRPr="42C99601">
        <w:rPr>
          <w:i/>
          <w:iCs/>
        </w:rPr>
        <w:t>œuvre</w:t>
      </w:r>
      <w:r w:rsidRPr="42C99601">
        <w:rPr>
          <w:i/>
          <w:iCs/>
        </w:rPr>
        <w:t xml:space="preserve"> :</w:t>
      </w:r>
    </w:p>
    <w:p w14:paraId="23612A14" w14:textId="726C92B1" w:rsidR="005E5492" w:rsidRPr="005E5492" w:rsidRDefault="005E5492" w:rsidP="42C99601">
      <w:pPr>
        <w:rPr>
          <w:i/>
          <w:iCs/>
        </w:rPr>
      </w:pPr>
      <w:r w:rsidRPr="42C99601">
        <w:rPr>
          <w:i/>
          <w:iCs/>
        </w:rPr>
        <w:t>En tant que maître d’</w:t>
      </w:r>
      <w:r w:rsidR="0D56936A" w:rsidRPr="42C99601">
        <w:rPr>
          <w:i/>
          <w:iCs/>
        </w:rPr>
        <w:t>œuvre</w:t>
      </w:r>
      <w:r w:rsidRPr="42C99601">
        <w:rPr>
          <w:i/>
          <w:iCs/>
        </w:rPr>
        <w:t>, &lt;le prestataire d’externalisation&gt; désignera un interlocuteur responsable de la sécurité, pilotant l’ensemble de la sécurité du projet : sécurité des développements, sécurité du système d’information cible et intégration des composants sécurité. Il est rattaché directement au responsable de l’opération, au directeur de projet par exemple, désigné par le &lt;prestataire d’externalisation&gt;.</w:t>
      </w:r>
    </w:p>
    <w:p w14:paraId="619802FA" w14:textId="435A890D" w:rsidR="005E5492" w:rsidRPr="005E5492" w:rsidRDefault="005E5492" w:rsidP="42C99601">
      <w:pPr>
        <w:rPr>
          <w:i/>
          <w:iCs/>
        </w:rPr>
      </w:pPr>
      <w:r w:rsidRPr="42C99601">
        <w:rPr>
          <w:i/>
          <w:iCs/>
        </w:rPr>
        <w:t>Le responsable de la sécurité désigné par &lt;le prestataire d’externalisation&gt; prend en charge l’organisation des comités de suivi sécurité : convocation, proposition d’ordre du jour, rédaction des comptes-rendus [</w:t>
      </w:r>
      <w:r w:rsidR="2F37A3AA" w:rsidRPr="42C99601">
        <w:rPr>
          <w:i/>
          <w:iCs/>
        </w:rPr>
        <w:t>cf.</w:t>
      </w:r>
      <w:r w:rsidRPr="42C99601">
        <w:rPr>
          <w:i/>
          <w:iCs/>
        </w:rPr>
        <w:t xml:space="preserve"> clause Comité de suivi].</w:t>
      </w:r>
    </w:p>
    <w:p w14:paraId="1FB71620" w14:textId="77777777" w:rsidR="005E5492" w:rsidRPr="005E5492" w:rsidRDefault="005E5492" w:rsidP="005E5492">
      <w:pPr>
        <w:rPr>
          <w:i/>
          <w:iCs/>
        </w:rPr>
      </w:pPr>
      <w:r w:rsidRPr="005E5492">
        <w:rPr>
          <w:i/>
          <w:iCs/>
        </w:rPr>
        <w:t>Il pourra convier à ces réunions les intervenants impliqués dans les sujets inscrits à l’ordre du jour : sécurité applicative, sécurité des serveurs, sécurité des échanges…</w:t>
      </w:r>
    </w:p>
    <w:p w14:paraId="4DD89347" w14:textId="77777777" w:rsidR="005E5492" w:rsidRPr="005E5492" w:rsidRDefault="005E5492" w:rsidP="005E5492">
      <w:pPr>
        <w:rPr>
          <w:i/>
          <w:iCs/>
        </w:rPr>
      </w:pPr>
      <w:r w:rsidRPr="005E5492">
        <w:rPr>
          <w:i/>
          <w:iCs/>
        </w:rPr>
        <w:t>Il conseille le client dans son approche de la sécurité du projet, selon les audits, les incidents perçus sur le système ou les évolutions du contexte opérationnel.</w:t>
      </w:r>
    </w:p>
    <w:p w14:paraId="0896F9D7" w14:textId="77777777" w:rsidR="005E5492" w:rsidRPr="005E5492" w:rsidRDefault="005E5492" w:rsidP="005E5492">
      <w:pPr>
        <w:rPr>
          <w:i/>
          <w:iCs/>
        </w:rPr>
      </w:pPr>
      <w:r w:rsidRPr="005E5492">
        <w:rPr>
          <w:i/>
          <w:iCs/>
        </w:rPr>
        <w:t>Organisation de la maîtrise d’ouvrage :</w:t>
      </w:r>
    </w:p>
    <w:p w14:paraId="22FB67ED" w14:textId="77777777" w:rsidR="005E5492" w:rsidRPr="005E5492" w:rsidRDefault="005E5492" w:rsidP="005E5492">
      <w:pPr>
        <w:rPr>
          <w:i/>
          <w:iCs/>
        </w:rPr>
      </w:pPr>
      <w:r w:rsidRPr="005E5492">
        <w:rPr>
          <w:i/>
          <w:iCs/>
        </w:rPr>
        <w:t>&lt;Le client&gt; désignera un interlocuteur responsable de la sécurité du projet &lt;projet d’externalisation&gt;. Cet interlocuteur unique sera rattaché directement au directeur de projet. Cet interlocuteur sera responsable de l’ensemble de la sécurité du projet pour &lt;le client&gt;, tant sur les aspects sécurité du système d’information cible que sur les aspects sécurité des interfaces avec le prestataire d’externalisation.</w:t>
      </w:r>
    </w:p>
    <w:p w14:paraId="48650E4B" w14:textId="77777777" w:rsidR="009604BA" w:rsidRDefault="009604BA" w:rsidP="005E5492">
      <w:pPr>
        <w:rPr>
          <w:i/>
          <w:iCs/>
        </w:rPr>
      </w:pPr>
    </w:p>
    <w:p w14:paraId="02DDAB86" w14:textId="77777777" w:rsidR="001959C1" w:rsidRDefault="001959C1" w:rsidP="005E5492">
      <w:pPr>
        <w:rPr>
          <w:i/>
          <w:iCs/>
        </w:rPr>
      </w:pPr>
    </w:p>
    <w:p w14:paraId="21CEB921" w14:textId="0300951C" w:rsidR="005E5492" w:rsidRPr="005E5492" w:rsidRDefault="005E5492" w:rsidP="005E5492">
      <w:pPr>
        <w:rPr>
          <w:i/>
          <w:iCs/>
        </w:rPr>
      </w:pPr>
      <w:r w:rsidRPr="005E5492">
        <w:rPr>
          <w:i/>
          <w:iCs/>
        </w:rPr>
        <w:t>Des réunions de pilotage sécurité seront programmées tous les &lt;période à évaluer&gt;. Les participants à ces réunions pour &lt;le client&gt; seront le directeur du projet, le responsable de la sécurité, &lt;liste à compléter&gt; ainsi que le responsable technique ou fonctionnel lorsqu’ils sont impliqués dans les points à l’ordre du jour.</w:t>
      </w:r>
    </w:p>
    <w:p w14:paraId="12A0EC26" w14:textId="0C4FA1E3" w:rsidR="005E5492" w:rsidRPr="005E5492" w:rsidRDefault="005E5492" w:rsidP="42C99601">
      <w:pPr>
        <w:rPr>
          <w:i/>
          <w:iCs/>
        </w:rPr>
      </w:pPr>
      <w:r w:rsidRPr="42C99601">
        <w:rPr>
          <w:i/>
          <w:iCs/>
        </w:rPr>
        <w:t>La sécurité globale de &lt;l’opération d’externalisation&gt; repose sur la participation active des différents intervenants : personnel interne qui avait un rôle dans le fonctionnement antérieur du système ou service faisant l’objet de l’opération d’externalisation [intégrateur, développeur, administrateur, exploitant, responsable technique, etc.], maîtrise d’ouvrage et maître d’</w:t>
      </w:r>
      <w:r w:rsidR="0C527FB1" w:rsidRPr="42C99601">
        <w:rPr>
          <w:i/>
          <w:iCs/>
        </w:rPr>
        <w:t>œuvre</w:t>
      </w:r>
      <w:r w:rsidRPr="42C99601">
        <w:rPr>
          <w:i/>
          <w:iCs/>
        </w:rPr>
        <w:t>.</w:t>
      </w:r>
    </w:p>
    <w:p w14:paraId="42903A62" w14:textId="4E24EA80" w:rsidR="005E5492" w:rsidRPr="005E5492" w:rsidRDefault="005E5492" w:rsidP="42C99601">
      <w:pPr>
        <w:rPr>
          <w:i/>
          <w:iCs/>
        </w:rPr>
      </w:pPr>
      <w:r w:rsidRPr="42C99601">
        <w:rPr>
          <w:i/>
          <w:iCs/>
        </w:rPr>
        <w:t>Le responsable de la sécurité désigné par &lt;le client&gt; a pour mission de faciliter les relations entre les différents intervenants, et de mettre à disposition de la maîtrise d’</w:t>
      </w:r>
      <w:r w:rsidR="4F4C2C07" w:rsidRPr="42C99601">
        <w:rPr>
          <w:i/>
          <w:iCs/>
        </w:rPr>
        <w:t>œuvre</w:t>
      </w:r>
      <w:r w:rsidRPr="42C99601">
        <w:rPr>
          <w:i/>
          <w:iCs/>
        </w:rPr>
        <w:t xml:space="preserve"> l’ensemble des documents nécessaires au bon déroulement du projet sécurité lié à l’opération d’externalisation : politique de sécurité interne du &lt;client&gt;, documentation technique du système [documents d’ingénierie, documents d’exploitation, etc.], spécifications, etc.</w:t>
      </w:r>
    </w:p>
    <w:p w14:paraId="321C8D81" w14:textId="5B67FA02" w:rsidR="005E5492" w:rsidRPr="005E5492" w:rsidRDefault="005E5492" w:rsidP="42C99601">
      <w:pPr>
        <w:rPr>
          <w:i/>
          <w:iCs/>
        </w:rPr>
      </w:pPr>
      <w:r w:rsidRPr="42C99601">
        <w:rPr>
          <w:i/>
          <w:iCs/>
        </w:rPr>
        <w:t>Il a également pour mission de s’assurer de la prise en compte globale de la sécurité, par la maîtrise d’ouvrage et la maîtrise d’</w:t>
      </w:r>
      <w:r w:rsidR="07F6317F" w:rsidRPr="42C99601">
        <w:rPr>
          <w:i/>
          <w:iCs/>
        </w:rPr>
        <w:t>œuvre</w:t>
      </w:r>
      <w:r w:rsidRPr="42C99601">
        <w:rPr>
          <w:i/>
          <w:iCs/>
        </w:rPr>
        <w:t>.</w:t>
      </w:r>
    </w:p>
    <w:p w14:paraId="0C6D67C8" w14:textId="77777777" w:rsidR="005E5492" w:rsidRPr="005E5492" w:rsidRDefault="005E5492" w:rsidP="005E5492">
      <w:pPr>
        <w:rPr>
          <w:i/>
          <w:iCs/>
        </w:rPr>
      </w:pPr>
      <w:r w:rsidRPr="005E5492">
        <w:rPr>
          <w:i/>
          <w:iCs/>
        </w:rPr>
        <w:t>Il décide de la conduite à tenir selon le résultat des audits, des incidents ou des conseils remontés par le prestataire d’externalisation.</w:t>
      </w:r>
    </w:p>
    <w:p w14:paraId="5C3315EF" w14:textId="77777777" w:rsidR="005E5492" w:rsidRPr="005E5492" w:rsidRDefault="005E5492" w:rsidP="005E5492">
      <w:pPr>
        <w:rPr>
          <w:i/>
          <w:iCs/>
        </w:rPr>
      </w:pPr>
      <w:r w:rsidRPr="005E5492">
        <w:rPr>
          <w:i/>
          <w:iCs/>
        </w:rPr>
        <w:t>Il valide l’ensemble des actions réalisées au titre de la gestion de la sécurité du projet.</w:t>
      </w:r>
    </w:p>
    <w:p w14:paraId="2EDD4718" w14:textId="77777777" w:rsidR="005E5492" w:rsidRPr="001959C1" w:rsidRDefault="005E5492" w:rsidP="009604BA">
      <w:pPr>
        <w:pStyle w:val="Titre2"/>
        <w:numPr>
          <w:ilvl w:val="1"/>
          <w:numId w:val="0"/>
        </w:numPr>
        <w:ind w:left="792"/>
        <w:rPr>
          <w:color w:val="8FC2B0" w:themeColor="background2"/>
        </w:rPr>
      </w:pPr>
      <w:r w:rsidRPr="001959C1">
        <w:rPr>
          <w:color w:val="8FC2B0" w:themeColor="background2"/>
        </w:rPr>
        <w:t>6. Responsabilités liées au PAS</w:t>
      </w:r>
    </w:p>
    <w:p w14:paraId="79FD3251" w14:textId="77777777" w:rsidR="005E5492" w:rsidRPr="005E5492" w:rsidRDefault="005E5492" w:rsidP="005E5492">
      <w:r w:rsidRPr="005E5492">
        <w:t>Le candidat, au travers de son responsable de la sécurité désigné, est responsable de la rédaction, de l’évolution et de l’application du Plan d’Assurance Sécurité.</w:t>
      </w:r>
    </w:p>
    <w:p w14:paraId="01803C06" w14:textId="30C4FF7A" w:rsidR="005E5492" w:rsidRPr="005E5492" w:rsidRDefault="005E5492" w:rsidP="42C99601">
      <w:pPr>
        <w:rPr>
          <w:i/>
          <w:iCs/>
        </w:rPr>
      </w:pPr>
      <w:r w:rsidRPr="42C99601">
        <w:rPr>
          <w:i/>
          <w:iCs/>
        </w:rPr>
        <w:t>Il s’applique à l’ensemble des équipes de la maîtrise d’</w:t>
      </w:r>
      <w:r w:rsidR="4888B738" w:rsidRPr="42C99601">
        <w:rPr>
          <w:i/>
          <w:iCs/>
        </w:rPr>
        <w:t>œuvre</w:t>
      </w:r>
      <w:r w:rsidRPr="42C99601">
        <w:rPr>
          <w:i/>
          <w:iCs/>
        </w:rPr>
        <w:t xml:space="preserve"> (et aux sous-traitants éventuels).</w:t>
      </w:r>
    </w:p>
    <w:p w14:paraId="2F8B698E" w14:textId="5165070D" w:rsidR="005E5492" w:rsidRPr="005E5492" w:rsidRDefault="005E5492" w:rsidP="1692001A">
      <w:pPr>
        <w:rPr>
          <w:i/>
          <w:iCs/>
        </w:rPr>
      </w:pPr>
      <w:r w:rsidRPr="1692001A">
        <w:rPr>
          <w:i/>
          <w:iCs/>
        </w:rPr>
        <w:t xml:space="preserve">Sa rédaction relève du responsable </w:t>
      </w:r>
      <w:r w:rsidR="0DD741D0" w:rsidRPr="1692001A">
        <w:rPr>
          <w:i/>
          <w:iCs/>
        </w:rPr>
        <w:t>sécurité désignée</w:t>
      </w:r>
      <w:r w:rsidRPr="1692001A">
        <w:rPr>
          <w:i/>
          <w:iCs/>
        </w:rPr>
        <w:t xml:space="preserve"> par &lt;le prestataire d’externalisation&gt;. Il doit être approuvé par la maîtrise d’ouvrage ; sa bonne exécution est de la responsabilité du &lt;prestataire d’externalisation&gt; en tant que maître d’</w:t>
      </w:r>
      <w:r w:rsidR="55831898" w:rsidRPr="1692001A">
        <w:rPr>
          <w:i/>
          <w:iCs/>
        </w:rPr>
        <w:t>œuvre</w:t>
      </w:r>
      <w:r w:rsidRPr="1692001A">
        <w:rPr>
          <w:i/>
          <w:iCs/>
        </w:rPr>
        <w:t>.</w:t>
      </w:r>
    </w:p>
    <w:p w14:paraId="125D28FC" w14:textId="77777777" w:rsidR="005E5492" w:rsidRPr="005E5492" w:rsidRDefault="005E5492" w:rsidP="005E5492">
      <w:pPr>
        <w:rPr>
          <w:i/>
          <w:iCs/>
        </w:rPr>
      </w:pPr>
      <w:r w:rsidRPr="005E5492">
        <w:rPr>
          <w:i/>
          <w:iCs/>
        </w:rPr>
        <w:t>La cohérence de l’ensemble des mesures pourra être analysée et réévaluée lors des réunions d’avancement (ou revues de pilotage).</w:t>
      </w:r>
    </w:p>
    <w:p w14:paraId="1AF9F399"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7. Procédure d’évolution du PAS</w:t>
      </w:r>
    </w:p>
    <w:p w14:paraId="0202FE94" w14:textId="77777777" w:rsidR="005E5492" w:rsidRPr="005E5492" w:rsidRDefault="005E5492" w:rsidP="005E5492">
      <w:r w:rsidRPr="005E5492">
        <w:t>Le titulaire est responsable de la rédaction du PAS initial et de ses évolutions pour répondre aux exigences de sécurité du donneur d’ordres pendant toute la durée du contrat.</w:t>
      </w:r>
    </w:p>
    <w:p w14:paraId="47ED2242" w14:textId="77777777" w:rsidR="005E5492" w:rsidRPr="005E5492" w:rsidRDefault="005E5492" w:rsidP="005E5492">
      <w:r w:rsidRPr="005E5492">
        <w:t>Voici une liste (non exhaustive) des situations susceptibles d’entraîner une</w:t>
      </w:r>
    </w:p>
    <w:p w14:paraId="6F481FCC" w14:textId="250E8467" w:rsidR="005E5492" w:rsidRPr="005E5492" w:rsidRDefault="27A3968A" w:rsidP="005E5492">
      <w:pPr>
        <w:pStyle w:val="Paragraphedeliste"/>
        <w:numPr>
          <w:ilvl w:val="0"/>
          <w:numId w:val="9"/>
        </w:numPr>
      </w:pPr>
      <w:r>
        <w:t>Modification</w:t>
      </w:r>
      <w:r w:rsidR="005E5492">
        <w:t xml:space="preserve"> du PAS :</w:t>
      </w:r>
    </w:p>
    <w:p w14:paraId="067D8DAC" w14:textId="026032D8" w:rsidR="009604BA" w:rsidRDefault="7C436C6A" w:rsidP="009604BA">
      <w:pPr>
        <w:pStyle w:val="Paragraphedeliste"/>
        <w:numPr>
          <w:ilvl w:val="0"/>
          <w:numId w:val="9"/>
        </w:numPr>
      </w:pPr>
      <w:r>
        <w:t>Évolution</w:t>
      </w:r>
      <w:r w:rsidR="005E5492">
        <w:t xml:space="preserve"> du système d’information (configuration logicielle ou</w:t>
      </w:r>
      <w:r w:rsidR="75E826CF">
        <w:t xml:space="preserve"> </w:t>
      </w:r>
      <w:r w:rsidR="005E5492">
        <w:t>matérielle) ;</w:t>
      </w:r>
    </w:p>
    <w:p w14:paraId="5972E029" w14:textId="34807818" w:rsidR="005E5492" w:rsidRPr="005E5492" w:rsidRDefault="19F4E4DB" w:rsidP="005E5492">
      <w:pPr>
        <w:pStyle w:val="Paragraphedeliste"/>
        <w:numPr>
          <w:ilvl w:val="0"/>
          <w:numId w:val="9"/>
        </w:numPr>
      </w:pPr>
      <w:r>
        <w:t>Évolution</w:t>
      </w:r>
      <w:r w:rsidR="005E5492">
        <w:t xml:space="preserve"> de l’environnement du système d’information (locaux,</w:t>
      </w:r>
      <w:r w:rsidR="00366AE2">
        <w:t xml:space="preserve"> </w:t>
      </w:r>
      <w:r w:rsidR="24C9DD6E">
        <w:t>Personnels</w:t>
      </w:r>
      <w:r w:rsidR="005E5492">
        <w:t>, procédures, etc.) ;</w:t>
      </w:r>
    </w:p>
    <w:p w14:paraId="270E7DD5" w14:textId="74E1B08F" w:rsidR="005E5492" w:rsidRPr="005E5492" w:rsidRDefault="69004EFD" w:rsidP="00FB24D9">
      <w:pPr>
        <w:pStyle w:val="Paragraphedeliste"/>
        <w:numPr>
          <w:ilvl w:val="0"/>
          <w:numId w:val="9"/>
        </w:numPr>
      </w:pPr>
      <w:r>
        <w:lastRenderedPageBreak/>
        <w:t>Évolution</w:t>
      </w:r>
      <w:r w:rsidR="005E5492">
        <w:t xml:space="preserve"> du périmètre de l’opération.</w:t>
      </w:r>
    </w:p>
    <w:p w14:paraId="71FE0E4C" w14:textId="77777777" w:rsidR="005E5492" w:rsidRPr="005E5492" w:rsidRDefault="005E5492" w:rsidP="005E5492">
      <w:r w:rsidRPr="005E5492">
        <w:t>En cas d’évolution du système, de son environnement, ou du périmètre de l’opération d’externalisation, le titulaire vérifie si le PAS doit être modifié. Si tel est le cas, il propose une modification au client. Si cette modification est acceptée, le PAS est révisé et soumis au client pour validation formelle.</w:t>
      </w:r>
    </w:p>
    <w:p w14:paraId="3A77631C" w14:textId="6CBD1FD8" w:rsidR="005E5492" w:rsidRPr="005E5492" w:rsidRDefault="005E5492" w:rsidP="1692001A">
      <w:pPr>
        <w:rPr>
          <w:i/>
          <w:iCs/>
        </w:rPr>
      </w:pPr>
      <w:r w:rsidRPr="1692001A">
        <w:rPr>
          <w:i/>
          <w:iCs/>
        </w:rPr>
        <w:t xml:space="preserve">Le responsable </w:t>
      </w:r>
      <w:r w:rsidR="1D123321" w:rsidRPr="1692001A">
        <w:rPr>
          <w:i/>
          <w:iCs/>
        </w:rPr>
        <w:t>sécurité désignée</w:t>
      </w:r>
      <w:r w:rsidRPr="1692001A">
        <w:rPr>
          <w:i/>
          <w:iCs/>
        </w:rPr>
        <w:t xml:space="preserve"> par &lt;le prestataire d’externalisation&gt; est responsable de la rédaction du Plan d’Assurance Sécurité initial et de ses évolutions.</w:t>
      </w:r>
    </w:p>
    <w:p w14:paraId="1121F96C" w14:textId="2E612FF8" w:rsidR="005E5492" w:rsidRPr="005E5492" w:rsidRDefault="005E5492" w:rsidP="1692001A">
      <w:pPr>
        <w:rPr>
          <w:i/>
          <w:iCs/>
        </w:rPr>
      </w:pPr>
      <w:r w:rsidRPr="1692001A">
        <w:rPr>
          <w:i/>
          <w:iCs/>
        </w:rPr>
        <w:t>Une révision du Plan d’Assurance Sécurité pourra être réalisée en cas d’évolution du périmètre de l’opération ou des exigences de la maîtrise d’ouvrage, après accord de la maîtrise d’</w:t>
      </w:r>
      <w:r w:rsidR="5C35EEF9" w:rsidRPr="1692001A">
        <w:rPr>
          <w:i/>
          <w:iCs/>
        </w:rPr>
        <w:t>œuvre</w:t>
      </w:r>
      <w:r w:rsidRPr="1692001A">
        <w:rPr>
          <w:i/>
          <w:iCs/>
        </w:rPr>
        <w:t xml:space="preserve">. Cette révision sera réalisée par le responsable </w:t>
      </w:r>
      <w:r w:rsidR="27B00AC6" w:rsidRPr="1692001A">
        <w:rPr>
          <w:i/>
          <w:iCs/>
        </w:rPr>
        <w:t>sécurité désignée</w:t>
      </w:r>
      <w:r w:rsidRPr="1692001A">
        <w:rPr>
          <w:i/>
          <w:iCs/>
        </w:rPr>
        <w:t xml:space="preserve"> par &lt;le prestataire d’externalisation&gt;. La version révisée du PAS sera transmise à la maîtrise d’ouvrage pour validation, et diffusée à l’ensemble des acteurs pour application.</w:t>
      </w:r>
    </w:p>
    <w:p w14:paraId="5F6A6C50"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8. Applicabilité du PAS</w:t>
      </w:r>
    </w:p>
    <w:p w14:paraId="10CA2F3A" w14:textId="77777777" w:rsidR="005E5492" w:rsidRPr="005E5492" w:rsidRDefault="005E5492" w:rsidP="005E5492">
      <w:r w:rsidRPr="005E5492">
        <w:t>L’applicabilité du PAS s’articule autour des trois points suivants :</w:t>
      </w:r>
    </w:p>
    <w:p w14:paraId="378288B5" w14:textId="375CD150" w:rsidR="005E5492" w:rsidRPr="005E5492" w:rsidRDefault="406E5498" w:rsidP="005E5492">
      <w:pPr>
        <w:pStyle w:val="Paragraphedeliste"/>
        <w:numPr>
          <w:ilvl w:val="0"/>
          <w:numId w:val="8"/>
        </w:numPr>
      </w:pPr>
      <w:r>
        <w:t>Quelles</w:t>
      </w:r>
      <w:r w:rsidR="005E5492">
        <w:t xml:space="preserve"> sont les procédures à suivre lors de </w:t>
      </w:r>
      <w:r w:rsidR="69315ED1">
        <w:t>non-respect</w:t>
      </w:r>
      <w:r w:rsidR="005E5492">
        <w:t xml:space="preserve"> du PAS ?</w:t>
      </w:r>
    </w:p>
    <w:p w14:paraId="25C349EB" w14:textId="497AE483" w:rsidR="005E5492" w:rsidRPr="005E5492" w:rsidRDefault="63AC0E2E" w:rsidP="005E5492">
      <w:pPr>
        <w:pStyle w:val="Paragraphedeliste"/>
        <w:numPr>
          <w:ilvl w:val="0"/>
          <w:numId w:val="8"/>
        </w:numPr>
      </w:pPr>
      <w:r>
        <w:t>Quelle</w:t>
      </w:r>
      <w:r w:rsidR="005E5492">
        <w:t xml:space="preserve"> est la procédure à suivre pour une demande de dérogation ?</w:t>
      </w:r>
    </w:p>
    <w:p w14:paraId="4FF77EC2" w14:textId="0358909D" w:rsidR="005E5492" w:rsidRPr="005E5492" w:rsidRDefault="3D6ECC03" w:rsidP="005E5492">
      <w:pPr>
        <w:pStyle w:val="Paragraphedeliste"/>
        <w:numPr>
          <w:ilvl w:val="0"/>
          <w:numId w:val="8"/>
        </w:numPr>
      </w:pPr>
      <w:r>
        <w:t>Quelles</w:t>
      </w:r>
      <w:r w:rsidR="005E5492">
        <w:t xml:space="preserve"> sont les pénalités encourues ?</w:t>
      </w:r>
    </w:p>
    <w:p w14:paraId="64C6AFC4" w14:textId="77777777" w:rsidR="005E5492" w:rsidRPr="005E5492" w:rsidRDefault="005E5492" w:rsidP="005E5492">
      <w:pPr>
        <w:rPr>
          <w:i/>
          <w:iCs/>
        </w:rPr>
      </w:pPr>
      <w:r w:rsidRPr="005E5492">
        <w:rPr>
          <w:i/>
          <w:iCs/>
        </w:rPr>
        <w:t>Le Plan d’Assurance Sécurité est applicable à l’ensemble des acteurs du projet, au même titre que le Plan d’Assurance Qualité et avec la même priorité.</w:t>
      </w:r>
    </w:p>
    <w:p w14:paraId="3551E37F" w14:textId="443D3DE1" w:rsidR="005E5492" w:rsidRPr="005E5492" w:rsidRDefault="005E5492" w:rsidP="42C99601">
      <w:pPr>
        <w:rPr>
          <w:i/>
          <w:iCs/>
        </w:rPr>
      </w:pPr>
      <w:r w:rsidRPr="42C99601">
        <w:rPr>
          <w:i/>
          <w:iCs/>
        </w:rPr>
        <w:t xml:space="preserve">Un acteur du projet identifiant un </w:t>
      </w:r>
      <w:r w:rsidR="24A8AE89" w:rsidRPr="42C99601">
        <w:rPr>
          <w:i/>
          <w:iCs/>
        </w:rPr>
        <w:t>non-respect</w:t>
      </w:r>
      <w:r w:rsidRPr="42C99601">
        <w:rPr>
          <w:i/>
          <w:iCs/>
        </w:rPr>
        <w:t xml:space="preserve"> du PAS dans ses procédures et mesures doit en référer immédiatement au &lt;prestataire d’externalisation&gt;, qui en avertira la maîtrise d’ouvrage. Un modèle type de rapport de </w:t>
      </w:r>
      <w:r w:rsidR="03B6E684" w:rsidRPr="42C99601">
        <w:rPr>
          <w:i/>
          <w:iCs/>
        </w:rPr>
        <w:t>non-respect</w:t>
      </w:r>
      <w:r w:rsidRPr="42C99601">
        <w:rPr>
          <w:i/>
          <w:iCs/>
        </w:rPr>
        <w:t xml:space="preserve"> sera annexé au PAS définitif, spécifiant la forme du rapport, la liste de diffusion, les responsabilités des acteurs, et le planning de traitement de la clause de </w:t>
      </w:r>
      <w:r w:rsidR="21DEE623" w:rsidRPr="42C99601">
        <w:rPr>
          <w:i/>
          <w:iCs/>
        </w:rPr>
        <w:t>non-respect</w:t>
      </w:r>
      <w:r w:rsidRPr="42C99601">
        <w:rPr>
          <w:i/>
          <w:iCs/>
        </w:rPr>
        <w:t>.</w:t>
      </w:r>
    </w:p>
    <w:p w14:paraId="21914B31" w14:textId="0D9ABED4" w:rsidR="005E5492" w:rsidRPr="005E5492" w:rsidRDefault="005E5492" w:rsidP="42C99601">
      <w:pPr>
        <w:rPr>
          <w:i/>
          <w:iCs/>
        </w:rPr>
      </w:pPr>
      <w:r w:rsidRPr="42C99601">
        <w:rPr>
          <w:i/>
          <w:iCs/>
        </w:rPr>
        <w:t xml:space="preserve">Si la cause du </w:t>
      </w:r>
      <w:r w:rsidR="2C228835" w:rsidRPr="42C99601">
        <w:rPr>
          <w:i/>
          <w:iCs/>
        </w:rPr>
        <w:t>non-respect</w:t>
      </w:r>
      <w:r w:rsidRPr="42C99601">
        <w:rPr>
          <w:i/>
          <w:iCs/>
        </w:rPr>
        <w:t xml:space="preserve"> n’est pas corrigée dans un délai de &lt;délai à estimer&gt;, &lt;le prestataire d’externalisation&gt; subira une pénalité suivant la formule : &lt;formule à calculer&gt;.</w:t>
      </w:r>
    </w:p>
    <w:p w14:paraId="5DFE5849" w14:textId="77777777" w:rsidR="005E5492" w:rsidRPr="005E5492" w:rsidRDefault="005E5492" w:rsidP="005E5492">
      <w:pPr>
        <w:rPr>
          <w:i/>
          <w:iCs/>
        </w:rPr>
      </w:pPr>
      <w:r w:rsidRPr="005E5492">
        <w:rPr>
          <w:i/>
          <w:iCs/>
        </w:rPr>
        <w:t>Un acteur du projet n’étant pas à même de remplir l’ensemble des clauses du PAS devra effectuer une demande de dérogation auprès du &lt;prestataire d’externalisation&gt;, qui négociera avec &lt;le client&gt; l’ensemble des demandes de dérogation. Un modèle type de demande de dérogation sera annexé au PAS définitif, spécifiant la forme de la demande, la liste de diffusion, les responsabilités des acteurs, et le planning de traitement de la demande de dérogation.</w:t>
      </w:r>
    </w:p>
    <w:p w14:paraId="018DDF49"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9. Mesures de sécurité</w:t>
      </w:r>
    </w:p>
    <w:p w14:paraId="230E894D" w14:textId="428B3DCA" w:rsidR="009604BA" w:rsidRDefault="005E5492" w:rsidP="005E5492">
      <w:r w:rsidRPr="005E5492">
        <w:t>Le candidat décrira les mesures destinées à assurer la sécurité du système cible de l’opération d’externalisation pendant les différentes phases contractuelles : phase de transfert, phase d’exploitation, phase de réversibilité ou fin de contrat.</w:t>
      </w:r>
    </w:p>
    <w:p w14:paraId="6E48494A" w14:textId="77777777" w:rsidR="001959C1" w:rsidRPr="005E5492" w:rsidRDefault="001959C1" w:rsidP="005E5492"/>
    <w:p w14:paraId="4B6FBCE8" w14:textId="77777777" w:rsidR="005E5492" w:rsidRPr="005E5492" w:rsidRDefault="005E5492" w:rsidP="009604BA">
      <w:pPr>
        <w:pStyle w:val="Titre3"/>
        <w:numPr>
          <w:ilvl w:val="0"/>
          <w:numId w:val="0"/>
        </w:numPr>
        <w:ind w:left="1224"/>
      </w:pPr>
      <w:r w:rsidRPr="005E5492">
        <w:lastRenderedPageBreak/>
        <w:t>9.1 Transfert</w:t>
      </w:r>
    </w:p>
    <w:p w14:paraId="18AEE122" w14:textId="31B4120E" w:rsidR="005E5492" w:rsidRPr="005E5492" w:rsidRDefault="005E5492" w:rsidP="005E5492">
      <w:r>
        <w:t>Le candidat présentera dans ce paragraphe les mesures proposées pour sécuriser la phase de transfert du système (transfert de matériels ou de logiciels dans un projet d’externalisation) [</w:t>
      </w:r>
      <w:r w:rsidR="28953BAF">
        <w:t>cf.</w:t>
      </w:r>
      <w:r>
        <w:t xml:space="preserve"> clause de transfert].</w:t>
      </w:r>
    </w:p>
    <w:p w14:paraId="07FF8875" w14:textId="56E2B72B" w:rsidR="005E5492" w:rsidRPr="005E5492" w:rsidRDefault="005E5492" w:rsidP="005E5492">
      <w:r>
        <w:t xml:space="preserve">Il décrira les procédures de contrôle de la sécurité du transfert mises en </w:t>
      </w:r>
      <w:r w:rsidR="4A8EAFDA">
        <w:t>œuvre</w:t>
      </w:r>
      <w:r>
        <w:t xml:space="preserve"> et identifiera ses obligations de </w:t>
      </w:r>
      <w:proofErr w:type="spellStart"/>
      <w:r>
        <w:t>reporting</w:t>
      </w:r>
      <w:proofErr w:type="spellEnd"/>
      <w:r>
        <w:t xml:space="preserve"> au comité de suivi sécurité [</w:t>
      </w:r>
      <w:r w:rsidR="2B5ECB90">
        <w:t>cf.</w:t>
      </w:r>
      <w:r>
        <w:t xml:space="preserve"> clause de contrôle des prestations et des résultats].</w:t>
      </w:r>
    </w:p>
    <w:p w14:paraId="71229F55" w14:textId="3D0E1D74" w:rsidR="005E5492" w:rsidRPr="005E5492" w:rsidRDefault="005E5492" w:rsidP="005E5492">
      <w:r>
        <w:t>Les exigences de sécurité formulées par le client indiquent le niveau de confidentialité maximum des informations manipulées notamment lors du transfert. Une liste de personnes susceptibles de participer au transfert pourra être rédigée et communiquée au client. Le client devra indiquer s’il juge nécessaire que le personnel soit soumis à une clause de confidentialité ou procéder à une habilitation [</w:t>
      </w:r>
      <w:r w:rsidR="3CE3E1E8">
        <w:t>cf.</w:t>
      </w:r>
      <w:r>
        <w:t xml:space="preserve"> clause de confidentialité].</w:t>
      </w:r>
    </w:p>
    <w:p w14:paraId="58476DDF" w14:textId="77777777" w:rsidR="005E5492" w:rsidRPr="005E5492" w:rsidRDefault="005E5492" w:rsidP="009604BA">
      <w:pPr>
        <w:pStyle w:val="Titre3"/>
        <w:numPr>
          <w:ilvl w:val="0"/>
          <w:numId w:val="0"/>
        </w:numPr>
        <w:ind w:left="1224"/>
      </w:pPr>
      <w:r w:rsidRPr="005E5492">
        <w:t>9.2 Exploitation</w:t>
      </w:r>
    </w:p>
    <w:p w14:paraId="474EF6BA" w14:textId="77777777" w:rsidR="005E5492" w:rsidRPr="005E5492" w:rsidRDefault="005E5492" w:rsidP="005E5492">
      <w:r w:rsidRPr="005E5492">
        <w:t>Le candidat présentera dans ce paragraphe les mesures mises en place pour assurer la protection du système externalisé en réponse aux exigences identifiées par le client.</w:t>
      </w:r>
    </w:p>
    <w:p w14:paraId="3B5C1AEE" w14:textId="77777777" w:rsidR="005E5492" w:rsidRPr="005E5492" w:rsidRDefault="005E5492" w:rsidP="009604BA">
      <w:pPr>
        <w:pStyle w:val="Titre3"/>
        <w:numPr>
          <w:ilvl w:val="0"/>
          <w:numId w:val="0"/>
        </w:numPr>
        <w:ind w:left="1224"/>
      </w:pPr>
      <w:r w:rsidRPr="005E5492">
        <w:t>9.3. Réversibilité</w:t>
      </w:r>
    </w:p>
    <w:p w14:paraId="578202BD" w14:textId="78211428" w:rsidR="005E5492" w:rsidRPr="005E5492" w:rsidRDefault="005E5492" w:rsidP="005E5492">
      <w:r>
        <w:t>Le candidat s’engagera à apporter l’assistance nécessaire durant la période de migration pour faciliter le transfert des moyens de sécurité matériels et logiciels, et la reprise de leur exploitation par le client, ou par un autre prestataire de service [</w:t>
      </w:r>
      <w:r w:rsidR="793E4D6C">
        <w:t>cf.</w:t>
      </w:r>
      <w:r>
        <w:t xml:space="preserve"> clause de réversibilité].</w:t>
      </w:r>
    </w:p>
    <w:p w14:paraId="31AFE42D"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10. Matrice de couverture des exigences de sécurité</w:t>
      </w:r>
    </w:p>
    <w:p w14:paraId="43D1722E" w14:textId="77777777" w:rsidR="005E5492" w:rsidRPr="005E5492" w:rsidRDefault="005E5492" w:rsidP="005E5492">
      <w:r w:rsidRPr="005E5492">
        <w:t>Le candidat présentera les mesures de sécurité techniques, procédurales et organisationnelles retenues pour répondre aux exigences du donneur d’ordres. Il pourra pour ce faire reprendre dans un tableau les exigences énoncées, et lister la ou les mesure(s) répondant à chaque exigence.</w:t>
      </w:r>
    </w:p>
    <w:p w14:paraId="551634C3" w14:textId="77777777" w:rsidR="005E5492" w:rsidRPr="001959C1" w:rsidRDefault="005E5492" w:rsidP="009604BA">
      <w:pPr>
        <w:pStyle w:val="Titre2"/>
        <w:numPr>
          <w:ilvl w:val="0"/>
          <w:numId w:val="0"/>
        </w:numPr>
        <w:ind w:left="792"/>
        <w:rPr>
          <w:color w:val="8FC2B0" w:themeColor="background2"/>
        </w:rPr>
      </w:pPr>
      <w:r w:rsidRPr="001959C1">
        <w:rPr>
          <w:color w:val="8FC2B0" w:themeColor="background2"/>
        </w:rPr>
        <w:t>11. Documentation de suivi</w:t>
      </w:r>
    </w:p>
    <w:p w14:paraId="4FF305D0" w14:textId="77777777" w:rsidR="005E5492" w:rsidRPr="005E5492" w:rsidRDefault="005E5492" w:rsidP="005E5492">
      <w:r w:rsidRPr="005E5492">
        <w:t>Le candidat recensera dans ce paragraphe l’ensemble de la documentation concernant la sécurité qu’il s’engage à fournir au titre du projet. Ces documents pourront être les suivants :</w:t>
      </w:r>
    </w:p>
    <w:tbl>
      <w:tblPr>
        <w:tblStyle w:val="Grilledutableau"/>
        <w:tblW w:w="0" w:type="auto"/>
        <w:tblLayout w:type="fixed"/>
        <w:tblLook w:val="06A0" w:firstRow="1" w:lastRow="0" w:firstColumn="1" w:lastColumn="0" w:noHBand="1" w:noVBand="1"/>
      </w:tblPr>
      <w:tblGrid>
        <w:gridCol w:w="4530"/>
        <w:gridCol w:w="4530"/>
      </w:tblGrid>
      <w:tr w:rsidR="005E5492" w:rsidRPr="005E5492" w14:paraId="4A4545F5" w14:textId="77777777" w:rsidTr="001959C1">
        <w:tc>
          <w:tcPr>
            <w:tcW w:w="4530" w:type="dxa"/>
            <w:shd w:val="clear" w:color="auto" w:fill="8FC2B0" w:themeFill="background2"/>
          </w:tcPr>
          <w:p w14:paraId="3932E8C2" w14:textId="77777777" w:rsidR="005E5492" w:rsidRPr="005E5492" w:rsidRDefault="005E5492" w:rsidP="00077CE3">
            <w:pPr>
              <w:jc w:val="center"/>
            </w:pPr>
            <w:r w:rsidRPr="005E5492">
              <w:t>Nature du document</w:t>
            </w:r>
          </w:p>
        </w:tc>
        <w:tc>
          <w:tcPr>
            <w:tcW w:w="4530" w:type="dxa"/>
            <w:shd w:val="clear" w:color="auto" w:fill="8FC2B0" w:themeFill="background2"/>
          </w:tcPr>
          <w:p w14:paraId="71183F67" w14:textId="77777777" w:rsidR="005E5492" w:rsidRPr="005E5492" w:rsidRDefault="005E5492" w:rsidP="00077CE3">
            <w:pPr>
              <w:jc w:val="center"/>
            </w:pPr>
            <w:r w:rsidRPr="005E5492">
              <w:t>Date de remise</w:t>
            </w:r>
          </w:p>
        </w:tc>
      </w:tr>
      <w:tr w:rsidR="005E5492" w14:paraId="69EEC008" w14:textId="77777777" w:rsidTr="00077CE3">
        <w:tc>
          <w:tcPr>
            <w:tcW w:w="4530" w:type="dxa"/>
          </w:tcPr>
          <w:p w14:paraId="5E99A570" w14:textId="77777777" w:rsidR="005E5492" w:rsidRPr="005E5492" w:rsidRDefault="005E5492" w:rsidP="00077CE3">
            <w:r w:rsidRPr="005E5492">
              <w:t>Plan d’Assurance Sécurité, version 1</w:t>
            </w:r>
          </w:p>
          <w:p w14:paraId="476CA6EF" w14:textId="77777777" w:rsidR="005E5492" w:rsidRPr="005E5492" w:rsidRDefault="005E5492" w:rsidP="00077CE3">
            <w:r w:rsidRPr="005E5492">
              <w:t>Plan d’Assurance Sécurité, version définitive</w:t>
            </w:r>
          </w:p>
          <w:p w14:paraId="2E4CF239" w14:textId="77777777" w:rsidR="005E5492" w:rsidRPr="005E5492" w:rsidRDefault="005E5492" w:rsidP="00077CE3">
            <w:r w:rsidRPr="005E5492">
              <w:t>Dossier de sécurité</w:t>
            </w:r>
          </w:p>
          <w:p w14:paraId="58F52E8D" w14:textId="77777777" w:rsidR="005E5492" w:rsidRPr="005E5492" w:rsidRDefault="005E5492" w:rsidP="00077CE3">
            <w:r w:rsidRPr="005E5492">
              <w:t>Plan de secours</w:t>
            </w:r>
          </w:p>
          <w:p w14:paraId="5107B9C1" w14:textId="77777777" w:rsidR="005E5492" w:rsidRPr="005E5492" w:rsidRDefault="005E5492" w:rsidP="00077CE3">
            <w:r w:rsidRPr="005E5492">
              <w:t>Plan de gestion des incidents</w:t>
            </w:r>
          </w:p>
          <w:p w14:paraId="306DF57C" w14:textId="77777777" w:rsidR="005E5492" w:rsidRPr="005E5492" w:rsidRDefault="005E5492" w:rsidP="00077CE3">
            <w:r w:rsidRPr="005E5492">
              <w:t>Comptes-rendus de réunion du comité de suivi</w:t>
            </w:r>
          </w:p>
        </w:tc>
        <w:tc>
          <w:tcPr>
            <w:tcW w:w="4530" w:type="dxa"/>
          </w:tcPr>
          <w:p w14:paraId="056F5DC2" w14:textId="77777777" w:rsidR="005E5492" w:rsidRPr="005E5492" w:rsidRDefault="005E5492" w:rsidP="00077CE3">
            <w:r w:rsidRPr="005E5492">
              <w:t>Remise du dossier de réponse à consultation</w:t>
            </w:r>
          </w:p>
          <w:p w14:paraId="1C6C8870" w14:textId="77777777" w:rsidR="005E5492" w:rsidRPr="005E5492" w:rsidRDefault="005E5492" w:rsidP="00077CE3">
            <w:r w:rsidRPr="005E5492">
              <w:t>Début de phase de transfert</w:t>
            </w:r>
          </w:p>
          <w:p w14:paraId="0ABAE391" w14:textId="77777777" w:rsidR="005E5492" w:rsidRPr="005E5492" w:rsidRDefault="005E5492" w:rsidP="00077CE3">
            <w:r w:rsidRPr="005E5492">
              <w:t>Début de phase d’exploitation</w:t>
            </w:r>
          </w:p>
          <w:p w14:paraId="3EB8F1F7" w14:textId="77777777" w:rsidR="005E5492" w:rsidRPr="005E5492" w:rsidRDefault="005E5492" w:rsidP="00077CE3">
            <w:r w:rsidRPr="005E5492">
              <w:t>Début de phase d’exploitation</w:t>
            </w:r>
          </w:p>
          <w:p w14:paraId="582764B9" w14:textId="77777777" w:rsidR="005E5492" w:rsidRPr="005E5492" w:rsidRDefault="005E5492" w:rsidP="00077CE3">
            <w:r w:rsidRPr="005E5492">
              <w:t>Début de phase d’exploitation</w:t>
            </w:r>
          </w:p>
          <w:p w14:paraId="7A4FFECC" w14:textId="77777777" w:rsidR="005E5492" w:rsidRPr="005E5492" w:rsidRDefault="005E5492" w:rsidP="00077CE3">
            <w:r w:rsidRPr="005E5492">
              <w:t>Une semaine après chaque réunion</w:t>
            </w:r>
          </w:p>
        </w:tc>
      </w:tr>
    </w:tbl>
    <w:p w14:paraId="0D8EC416" w14:textId="77777777" w:rsidR="009C48C2" w:rsidRDefault="009C48C2" w:rsidP="00AB05E8"/>
    <w:p w14:paraId="19072396" w14:textId="77777777" w:rsidR="009C48C2" w:rsidRPr="00AB05E8" w:rsidRDefault="009C48C2" w:rsidP="00AB05E8"/>
    <w:sectPr w:rsidR="009C48C2" w:rsidRPr="00AB05E8" w:rsidSect="009A572E">
      <w:headerReference w:type="default" r:id="rId10"/>
      <w:footerReference w:type="default" r:id="rId11"/>
      <w:pgSz w:w="11906" w:h="16838"/>
      <w:pgMar w:top="1418" w:right="1418"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22E77" w14:textId="77777777" w:rsidR="004762DA" w:rsidRDefault="004762DA" w:rsidP="00012E9C">
      <w:pPr>
        <w:spacing w:after="0" w:line="240" w:lineRule="auto"/>
      </w:pPr>
      <w:r>
        <w:separator/>
      </w:r>
    </w:p>
  </w:endnote>
  <w:endnote w:type="continuationSeparator" w:id="0">
    <w:p w14:paraId="678109C1" w14:textId="77777777" w:rsidR="004762DA" w:rsidRDefault="004762DA" w:rsidP="0001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F2D09" w14:textId="77777777" w:rsidR="00EB22B8" w:rsidRDefault="00EB22B8">
    <w:pPr>
      <w:pStyle w:val="Pieddepage"/>
    </w:pPr>
    <w:r>
      <w:rPr>
        <w:noProof/>
        <w:lang w:eastAsia="fr-FR"/>
      </w:rPr>
      <mc:AlternateContent>
        <mc:Choice Requires="wps">
          <w:drawing>
            <wp:anchor distT="36576" distB="36576" distL="36576" distR="36576" simplePos="0" relativeHeight="251661312" behindDoc="0" locked="0" layoutInCell="1" allowOverlap="1" wp14:anchorId="5BCB2FB8" wp14:editId="58154C39">
              <wp:simplePos x="0" y="0"/>
              <wp:positionH relativeFrom="column">
                <wp:posOffset>3760470</wp:posOffset>
              </wp:positionH>
              <wp:positionV relativeFrom="paragraph">
                <wp:posOffset>42545</wp:posOffset>
              </wp:positionV>
              <wp:extent cx="3049905" cy="8890"/>
              <wp:effectExtent l="19050" t="19050" r="36195" b="29210"/>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9905" cy="8890"/>
                      </a:xfrm>
                      <a:prstGeom prst="straightConnector1">
                        <a:avLst/>
                      </a:prstGeom>
                      <a:noFill/>
                      <a:ln w="28575">
                        <a:solidFill>
                          <a:schemeClr val="bg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344104A" id="_x0000_t32" coordsize="21600,21600" o:spt="32" o:oned="t" path="m,l21600,21600e" filled="f">
              <v:path arrowok="t" fillok="f" o:connecttype="none"/>
              <o:lock v:ext="edit" shapetype="t"/>
            </v:shapetype>
            <v:shape id="Connecteur droit avec flèche 2" o:spid="_x0000_s1026" type="#_x0000_t32" style="position:absolute;margin-left:296.1pt;margin-top:3.35pt;width:240.15pt;height:.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" strokecolor="#8fc2b0 [3214]" strokeweight="2.25pt">
              <v:shadow color="silver"/>
            </v:shape>
          </w:pict>
        </mc:Fallback>
      </mc:AlternateContent>
    </w:r>
    <w:r>
      <w:rPr>
        <w:noProof/>
        <w:lang w:eastAsia="fr-FR"/>
      </w:rPr>
      <mc:AlternateContent>
        <mc:Choice Requires="wps">
          <w:drawing>
            <wp:anchor distT="36576" distB="36576" distL="36576" distR="36576" simplePos="0" relativeHeight="251663360" behindDoc="0" locked="0" layoutInCell="1" allowOverlap="1" wp14:anchorId="2097518A" wp14:editId="681FD400">
              <wp:simplePos x="0" y="0"/>
              <wp:positionH relativeFrom="column">
                <wp:posOffset>-892810</wp:posOffset>
              </wp:positionH>
              <wp:positionV relativeFrom="paragraph">
                <wp:posOffset>160020</wp:posOffset>
              </wp:positionV>
              <wp:extent cx="7683500" cy="417195"/>
              <wp:effectExtent l="0" t="0" r="0" b="190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0" cy="417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333333"/>
                            </a:solidFill>
                            <a:miter lim="800000"/>
                            <a:headEnd/>
                            <a:tailEnd/>
                          </a14:hiddenLine>
                        </a:ext>
                        <a:ext uri="{AF507438-7753-43E0-B8FC-AC1667EBCBE1}">
                          <a14:hiddenEffects xmlns:a14="http://schemas.microsoft.com/office/drawing/2010/main">
                            <a:effectLst/>
                          </a14:hiddenEffects>
                        </a:ext>
                      </a:extLst>
                    </wps:spPr>
                    <wps:txbx>
                      <w:txbxContent>
                        <w:p w14:paraId="4040B33F" w14:textId="332E596B" w:rsidR="00EB22B8" w:rsidRDefault="007C1C66" w:rsidP="008129F4">
                          <w:pPr>
                            <w:widowControl w:val="0"/>
                            <w:spacing w:after="0"/>
                            <w:jc w:val="center"/>
                            <w:rPr>
                              <w:rFonts w:ascii="Candara" w:hAnsi="Candara"/>
                              <w:color w:val="215076"/>
                              <w:sz w:val="20"/>
                              <w:szCs w:val="20"/>
                            </w:rPr>
                          </w:pPr>
                          <w:proofErr w:type="spellStart"/>
                          <w:r>
                            <w:rPr>
                              <w:rFonts w:ascii="Candara" w:hAnsi="Candara"/>
                              <w:color w:val="215076"/>
                              <w:sz w:val="20"/>
                              <w:szCs w:val="20"/>
                            </w:rPr>
                            <w:t>Inéa</w:t>
                          </w:r>
                          <w:proofErr w:type="spellEnd"/>
                          <w:r w:rsidR="00EB22B8">
                            <w:rPr>
                              <w:rFonts w:ascii="Candara" w:hAnsi="Candara"/>
                              <w:color w:val="215076"/>
                              <w:sz w:val="20"/>
                              <w:szCs w:val="20"/>
                            </w:rPr>
                            <w:t xml:space="preserve"> Sant&amp; Numérique  Hauts-de-France  -  Groupement d’Intérêt Public </w:t>
                          </w:r>
                          <w:r w:rsidR="008908CD">
                            <w:rPr>
                              <w:rFonts w:ascii="Candara" w:hAnsi="Candara"/>
                              <w:color w:val="215076"/>
                              <w:sz w:val="20"/>
                              <w:szCs w:val="20"/>
                            </w:rPr>
                            <w:t>–</w:t>
                          </w:r>
                          <w:r w:rsidR="00EB22B8">
                            <w:rPr>
                              <w:rFonts w:ascii="Candara" w:hAnsi="Candara"/>
                              <w:color w:val="215076"/>
                              <w:sz w:val="20"/>
                              <w:szCs w:val="20"/>
                            </w:rPr>
                            <w:t xml:space="preserve"> </w:t>
                          </w:r>
                          <w:r w:rsidR="008908CD">
                            <w:rPr>
                              <w:rFonts w:ascii="Candara" w:hAnsi="Candara"/>
                              <w:color w:val="215076"/>
                              <w:sz w:val="20"/>
                              <w:szCs w:val="20"/>
                            </w:rPr>
                            <w:t>45 rue André Grillon</w:t>
                          </w:r>
                          <w:r w:rsidR="00EB22B8">
                            <w:rPr>
                              <w:rFonts w:ascii="Candara" w:hAnsi="Candara"/>
                              <w:color w:val="215076"/>
                              <w:sz w:val="20"/>
                              <w:szCs w:val="20"/>
                            </w:rPr>
                            <w:t xml:space="preserve"> - 80</w:t>
                          </w:r>
                          <w:r w:rsidR="008908CD">
                            <w:rPr>
                              <w:rFonts w:ascii="Candara" w:hAnsi="Candara"/>
                              <w:color w:val="215076"/>
                              <w:sz w:val="20"/>
                              <w:szCs w:val="20"/>
                            </w:rPr>
                            <w:t>000</w:t>
                          </w:r>
                          <w:r w:rsidR="00EB22B8">
                            <w:rPr>
                              <w:rFonts w:ascii="Candara" w:hAnsi="Candara"/>
                              <w:color w:val="215076"/>
                              <w:sz w:val="20"/>
                              <w:szCs w:val="20"/>
                            </w:rPr>
                            <w:t xml:space="preserve"> </w:t>
                          </w:r>
                          <w:r w:rsidR="008908CD">
                            <w:rPr>
                              <w:rFonts w:ascii="Candara" w:hAnsi="Candara"/>
                              <w:color w:val="215076"/>
                              <w:sz w:val="20"/>
                              <w:szCs w:val="20"/>
                            </w:rPr>
                            <w:t>AMIENS</w:t>
                          </w:r>
                          <w:r w:rsidR="00EB22B8">
                            <w:rPr>
                              <w:rFonts w:ascii="Candara" w:hAnsi="Candara"/>
                              <w:color w:val="215076"/>
                              <w:sz w:val="20"/>
                              <w:szCs w:val="20"/>
                            </w:rPr>
                            <w:t xml:space="preserve">    </w:t>
                          </w:r>
                        </w:p>
                        <w:p w14:paraId="0D2952A1" w14:textId="5018EFAC" w:rsidR="00EB22B8" w:rsidRDefault="00EB22B8" w:rsidP="008129F4">
                          <w:pPr>
                            <w:widowControl w:val="0"/>
                            <w:spacing w:after="0"/>
                            <w:jc w:val="center"/>
                            <w:rPr>
                              <w:rFonts w:ascii="Candara" w:hAnsi="Candara"/>
                              <w:color w:val="215076"/>
                              <w:sz w:val="20"/>
                              <w:szCs w:val="20"/>
                            </w:rPr>
                          </w:pPr>
                          <w:r>
                            <w:rPr>
                              <w:rFonts w:ascii="Candara" w:hAnsi="Candara"/>
                              <w:color w:val="215076"/>
                              <w:sz w:val="20"/>
                              <w:szCs w:val="20"/>
                            </w:rPr>
                            <w:t xml:space="preserve">Tel : 03.22.80.31.60  - Site : </w:t>
                          </w:r>
                          <w:hyperlink r:id="rId1" w:history="1">
                            <w:r>
                              <w:rPr>
                                <w:rStyle w:val="Lienhypertexte"/>
                                <w:rFonts w:ascii="Candara" w:hAnsi="Candara"/>
                                <w:color w:val="215076"/>
                                <w:sz w:val="20"/>
                                <w:szCs w:val="20"/>
                              </w:rPr>
                              <w:t>www.esante-hdf.fr</w:t>
                            </w:r>
                          </w:hyperlink>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7518A" id="_x0000_t202" coordsize="21600,21600" o:spt="202" path="m,l,21600r21600,l21600,xe">
              <v:stroke joinstyle="miter"/>
              <v:path gradientshapeok="t" o:connecttype="rect"/>
            </v:shapetype>
            <v:shape id="Zone de texte 3" o:spid="_x0000_s1026" type="#_x0000_t202" style="position:absolute;left:0;text-align:left;margin-left:-70.3pt;margin-top:12.6pt;width:605pt;height:32.8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" filled="f" stroked="f" strokecolor="#333" strokeweight="2pt">
              <v:textbox inset="2.88pt,2.88pt,2.88pt,2.88pt">
                <w:txbxContent>
                  <w:p w14:paraId="4040B33F" w14:textId="332E596B" w:rsidR="00EB22B8" w:rsidRDefault="007C1C66" w:rsidP="008129F4">
                    <w:pPr>
                      <w:widowControl w:val="0"/>
                      <w:spacing w:after="0"/>
                      <w:jc w:val="center"/>
                      <w:rPr>
                        <w:rFonts w:ascii="Candara" w:hAnsi="Candara"/>
                        <w:color w:val="215076"/>
                        <w:sz w:val="20"/>
                        <w:szCs w:val="20"/>
                      </w:rPr>
                    </w:pPr>
                    <w:proofErr w:type="spellStart"/>
                    <w:r>
                      <w:rPr>
                        <w:rFonts w:ascii="Candara" w:hAnsi="Candara"/>
                        <w:color w:val="215076"/>
                        <w:sz w:val="20"/>
                        <w:szCs w:val="20"/>
                      </w:rPr>
                      <w:t>Inéa</w:t>
                    </w:r>
                    <w:proofErr w:type="spellEnd"/>
                    <w:r w:rsidR="00EB22B8">
                      <w:rPr>
                        <w:rFonts w:ascii="Candara" w:hAnsi="Candara"/>
                        <w:color w:val="215076"/>
                        <w:sz w:val="20"/>
                        <w:szCs w:val="20"/>
                      </w:rPr>
                      <w:t xml:space="preserve"> Sant&amp; Numérique  Hauts-de-France  -  Groupement d’Intérêt Public </w:t>
                    </w:r>
                    <w:r w:rsidR="008908CD">
                      <w:rPr>
                        <w:rFonts w:ascii="Candara" w:hAnsi="Candara"/>
                        <w:color w:val="215076"/>
                        <w:sz w:val="20"/>
                        <w:szCs w:val="20"/>
                      </w:rPr>
                      <w:t>–</w:t>
                    </w:r>
                    <w:r w:rsidR="00EB22B8">
                      <w:rPr>
                        <w:rFonts w:ascii="Candara" w:hAnsi="Candara"/>
                        <w:color w:val="215076"/>
                        <w:sz w:val="20"/>
                        <w:szCs w:val="20"/>
                      </w:rPr>
                      <w:t xml:space="preserve"> </w:t>
                    </w:r>
                    <w:r w:rsidR="008908CD">
                      <w:rPr>
                        <w:rFonts w:ascii="Candara" w:hAnsi="Candara"/>
                        <w:color w:val="215076"/>
                        <w:sz w:val="20"/>
                        <w:szCs w:val="20"/>
                      </w:rPr>
                      <w:t>45 rue André Grillon</w:t>
                    </w:r>
                    <w:r w:rsidR="00EB22B8">
                      <w:rPr>
                        <w:rFonts w:ascii="Candara" w:hAnsi="Candara"/>
                        <w:color w:val="215076"/>
                        <w:sz w:val="20"/>
                        <w:szCs w:val="20"/>
                      </w:rPr>
                      <w:t xml:space="preserve"> - 80</w:t>
                    </w:r>
                    <w:r w:rsidR="008908CD">
                      <w:rPr>
                        <w:rFonts w:ascii="Candara" w:hAnsi="Candara"/>
                        <w:color w:val="215076"/>
                        <w:sz w:val="20"/>
                        <w:szCs w:val="20"/>
                      </w:rPr>
                      <w:t>000</w:t>
                    </w:r>
                    <w:r w:rsidR="00EB22B8">
                      <w:rPr>
                        <w:rFonts w:ascii="Candara" w:hAnsi="Candara"/>
                        <w:color w:val="215076"/>
                        <w:sz w:val="20"/>
                        <w:szCs w:val="20"/>
                      </w:rPr>
                      <w:t xml:space="preserve"> </w:t>
                    </w:r>
                    <w:r w:rsidR="008908CD">
                      <w:rPr>
                        <w:rFonts w:ascii="Candara" w:hAnsi="Candara"/>
                        <w:color w:val="215076"/>
                        <w:sz w:val="20"/>
                        <w:szCs w:val="20"/>
                      </w:rPr>
                      <w:t>AMIENS</w:t>
                    </w:r>
                    <w:r w:rsidR="00EB22B8">
                      <w:rPr>
                        <w:rFonts w:ascii="Candara" w:hAnsi="Candara"/>
                        <w:color w:val="215076"/>
                        <w:sz w:val="20"/>
                        <w:szCs w:val="20"/>
                      </w:rPr>
                      <w:t xml:space="preserve">    </w:t>
                    </w:r>
                  </w:p>
                  <w:p w14:paraId="0D2952A1" w14:textId="5018EFAC" w:rsidR="00EB22B8" w:rsidRDefault="00EB22B8" w:rsidP="008129F4">
                    <w:pPr>
                      <w:widowControl w:val="0"/>
                      <w:spacing w:after="0"/>
                      <w:jc w:val="center"/>
                      <w:rPr>
                        <w:rFonts w:ascii="Candara" w:hAnsi="Candara"/>
                        <w:color w:val="215076"/>
                        <w:sz w:val="20"/>
                        <w:szCs w:val="20"/>
                      </w:rPr>
                    </w:pPr>
                    <w:r>
                      <w:rPr>
                        <w:rFonts w:ascii="Candara" w:hAnsi="Candara"/>
                        <w:color w:val="215076"/>
                        <w:sz w:val="20"/>
                        <w:szCs w:val="20"/>
                      </w:rPr>
                      <w:t xml:space="preserve">Tel : 03.22.80.31.60  - Site : </w:t>
                    </w:r>
                    <w:hyperlink r:id="rId2" w:history="1">
                      <w:r>
                        <w:rPr>
                          <w:rStyle w:val="Lienhypertexte"/>
                          <w:rFonts w:ascii="Candara" w:hAnsi="Candara"/>
                          <w:color w:val="215076"/>
                          <w:sz w:val="20"/>
                          <w:szCs w:val="20"/>
                        </w:rPr>
                        <w:t>www.esante-hdf.fr</w:t>
                      </w:r>
                    </w:hyperlink>
                  </w:p>
                </w:txbxContent>
              </v:textbox>
            </v:shape>
          </w:pict>
        </mc:Fallback>
      </mc:AlternateContent>
    </w:r>
    <w:r>
      <w:rPr>
        <w:noProof/>
        <w:lang w:eastAsia="fr-FR"/>
      </w:rPr>
      <mc:AlternateContent>
        <mc:Choice Requires="wps">
          <w:drawing>
            <wp:anchor distT="36576" distB="36576" distL="36576" distR="36576" simplePos="0" relativeHeight="251662336" behindDoc="0" locked="0" layoutInCell="1" allowOverlap="1" wp14:anchorId="2814FF09" wp14:editId="441A0292">
              <wp:simplePos x="0" y="0"/>
              <wp:positionH relativeFrom="column">
                <wp:posOffset>-981075</wp:posOffset>
              </wp:positionH>
              <wp:positionV relativeFrom="paragraph">
                <wp:posOffset>120650</wp:posOffset>
              </wp:positionV>
              <wp:extent cx="5113655" cy="10160"/>
              <wp:effectExtent l="19050" t="19050" r="29845" b="2794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3655" cy="10160"/>
                      </a:xfrm>
                      <a:prstGeom prst="straightConnector1">
                        <a:avLst/>
                      </a:prstGeom>
                      <a:noFill/>
                      <a:ln w="28575">
                        <a:solidFill>
                          <a:schemeClr val="bg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E05FA8" id="Connecteur droit avec flèche 5" o:spid="_x0000_s1026" type="#_x0000_t32" style="position:absolute;margin-left:-77.25pt;margin-top:9.5pt;width:402.65pt;height:.8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" strokecolor="#8fc2b0 [3214]" strokeweight="2.25pt">
              <v:shadow color="silver"/>
            </v:shape>
          </w:pict>
        </mc:Fallback>
      </mc:AlternateContent>
    </w:r>
  </w:p>
  <w:p w14:paraId="3DEF8896" w14:textId="77777777" w:rsidR="00EB22B8" w:rsidRDefault="00EB22B8">
    <w:pPr>
      <w:pStyle w:val="Pieddepage"/>
    </w:pPr>
  </w:p>
  <w:p w14:paraId="2957C5EC" w14:textId="77777777" w:rsidR="00B1119A" w:rsidRDefault="00B111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8B8A3" w14:textId="77777777" w:rsidR="004762DA" w:rsidRDefault="004762DA" w:rsidP="00012E9C">
      <w:pPr>
        <w:spacing w:after="0" w:line="240" w:lineRule="auto"/>
      </w:pPr>
      <w:r>
        <w:separator/>
      </w:r>
    </w:p>
  </w:footnote>
  <w:footnote w:type="continuationSeparator" w:id="0">
    <w:p w14:paraId="0CAEE626" w14:textId="77777777" w:rsidR="004762DA" w:rsidRDefault="004762DA" w:rsidP="00012E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52D42" w14:textId="023DAB98" w:rsidR="00012E9C" w:rsidRDefault="007C1C66">
    <w:pPr>
      <w:pStyle w:val="En-tte"/>
    </w:pPr>
    <w:r>
      <w:rPr>
        <w:noProof/>
      </w:rPr>
      <w:drawing>
        <wp:anchor distT="0" distB="0" distL="114300" distR="114300" simplePos="0" relativeHeight="251664384" behindDoc="1" locked="0" layoutInCell="1" allowOverlap="1" wp14:anchorId="15013A67" wp14:editId="28A52A3F">
          <wp:simplePos x="0" y="0"/>
          <wp:positionH relativeFrom="column">
            <wp:posOffset>-885190</wp:posOffset>
          </wp:positionH>
          <wp:positionV relativeFrom="paragraph">
            <wp:posOffset>-450215</wp:posOffset>
          </wp:positionV>
          <wp:extent cx="2125980" cy="1202507"/>
          <wp:effectExtent l="0" t="0" r="7620" b="0"/>
          <wp:wrapTight wrapText="bothSides">
            <wp:wrapPolygon edited="0">
              <wp:start x="0" y="0"/>
              <wp:lineTo x="0" y="21223"/>
              <wp:lineTo x="21484" y="21223"/>
              <wp:lineTo x="21484" y="0"/>
              <wp:lineTo x="0" y="0"/>
            </wp:wrapPolygon>
          </wp:wrapTight>
          <wp:docPr id="253174624"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logo,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1202507"/>
                  </a:xfrm>
                  <a:prstGeom prst="rect">
                    <a:avLst/>
                  </a:prstGeom>
                  <a:noFill/>
                  <a:ln>
                    <a:noFill/>
                  </a:ln>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n86toodIBM11/2" int2:id="AcHVr9kL">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B5A0F"/>
    <w:multiLevelType w:val="hybridMultilevel"/>
    <w:tmpl w:val="29088072"/>
    <w:lvl w:ilvl="0" w:tplc="FCEECA92">
      <w:start w:val="1"/>
      <w:numFmt w:val="bullet"/>
      <w:lvlText w:val=""/>
      <w:lvlJc w:val="left"/>
      <w:pPr>
        <w:ind w:left="720" w:hanging="360"/>
      </w:pPr>
      <w:rPr>
        <w:rFonts w:ascii="Symbol" w:hAnsi="Symbol" w:hint="default"/>
      </w:rPr>
    </w:lvl>
    <w:lvl w:ilvl="1" w:tplc="C2388CB2">
      <w:start w:val="1"/>
      <w:numFmt w:val="bullet"/>
      <w:lvlText w:val="o"/>
      <w:lvlJc w:val="left"/>
      <w:pPr>
        <w:ind w:left="1440" w:hanging="360"/>
      </w:pPr>
      <w:rPr>
        <w:rFonts w:ascii="Courier New" w:hAnsi="Courier New" w:hint="default"/>
      </w:rPr>
    </w:lvl>
    <w:lvl w:ilvl="2" w:tplc="0776764E">
      <w:start w:val="1"/>
      <w:numFmt w:val="bullet"/>
      <w:lvlText w:val=""/>
      <w:lvlJc w:val="left"/>
      <w:pPr>
        <w:ind w:left="2160" w:hanging="360"/>
      </w:pPr>
      <w:rPr>
        <w:rFonts w:ascii="Wingdings" w:hAnsi="Wingdings" w:hint="default"/>
      </w:rPr>
    </w:lvl>
    <w:lvl w:ilvl="3" w:tplc="04687AB0">
      <w:start w:val="1"/>
      <w:numFmt w:val="bullet"/>
      <w:lvlText w:val=""/>
      <w:lvlJc w:val="left"/>
      <w:pPr>
        <w:ind w:left="2880" w:hanging="360"/>
      </w:pPr>
      <w:rPr>
        <w:rFonts w:ascii="Symbol" w:hAnsi="Symbol" w:hint="default"/>
      </w:rPr>
    </w:lvl>
    <w:lvl w:ilvl="4" w:tplc="4EDCC5D8">
      <w:start w:val="1"/>
      <w:numFmt w:val="bullet"/>
      <w:lvlText w:val="o"/>
      <w:lvlJc w:val="left"/>
      <w:pPr>
        <w:ind w:left="3600" w:hanging="360"/>
      </w:pPr>
      <w:rPr>
        <w:rFonts w:ascii="Courier New" w:hAnsi="Courier New" w:hint="default"/>
      </w:rPr>
    </w:lvl>
    <w:lvl w:ilvl="5" w:tplc="A3F8D168">
      <w:start w:val="1"/>
      <w:numFmt w:val="bullet"/>
      <w:lvlText w:val=""/>
      <w:lvlJc w:val="left"/>
      <w:pPr>
        <w:ind w:left="4320" w:hanging="360"/>
      </w:pPr>
      <w:rPr>
        <w:rFonts w:ascii="Wingdings" w:hAnsi="Wingdings" w:hint="default"/>
      </w:rPr>
    </w:lvl>
    <w:lvl w:ilvl="6" w:tplc="2FCC1854">
      <w:start w:val="1"/>
      <w:numFmt w:val="bullet"/>
      <w:lvlText w:val=""/>
      <w:lvlJc w:val="left"/>
      <w:pPr>
        <w:ind w:left="5040" w:hanging="360"/>
      </w:pPr>
      <w:rPr>
        <w:rFonts w:ascii="Symbol" w:hAnsi="Symbol" w:hint="default"/>
      </w:rPr>
    </w:lvl>
    <w:lvl w:ilvl="7" w:tplc="BD40B9AA">
      <w:start w:val="1"/>
      <w:numFmt w:val="bullet"/>
      <w:lvlText w:val="o"/>
      <w:lvlJc w:val="left"/>
      <w:pPr>
        <w:ind w:left="5760" w:hanging="360"/>
      </w:pPr>
      <w:rPr>
        <w:rFonts w:ascii="Courier New" w:hAnsi="Courier New" w:hint="default"/>
      </w:rPr>
    </w:lvl>
    <w:lvl w:ilvl="8" w:tplc="3050C8BC">
      <w:start w:val="1"/>
      <w:numFmt w:val="bullet"/>
      <w:lvlText w:val=""/>
      <w:lvlJc w:val="left"/>
      <w:pPr>
        <w:ind w:left="6480" w:hanging="360"/>
      </w:pPr>
      <w:rPr>
        <w:rFonts w:ascii="Wingdings" w:hAnsi="Wingdings" w:hint="default"/>
      </w:rPr>
    </w:lvl>
  </w:abstractNum>
  <w:abstractNum w:abstractNumId="1" w15:restartNumberingAfterBreak="0">
    <w:nsid w:val="17B76FE1"/>
    <w:multiLevelType w:val="multilevel"/>
    <w:tmpl w:val="6AE403B4"/>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color w:val="FC866F" w:themeColor="accent1"/>
      </w:rPr>
    </w:lvl>
    <w:lvl w:ilvl="2">
      <w:start w:val="1"/>
      <w:numFmt w:val="decimal"/>
      <w:pStyle w:val="Titre3"/>
      <w:lvlText w:val="%1.%2.%3."/>
      <w:lvlJc w:val="left"/>
      <w:pPr>
        <w:ind w:left="1224" w:hanging="504"/>
      </w:pPr>
      <w:rPr>
        <w:rFonts w:hint="default"/>
        <w:color w:val="7F7F7F" w:themeColor="text2"/>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7A1A38"/>
    <w:multiLevelType w:val="multilevel"/>
    <w:tmpl w:val="3C5CE64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color w:val="6CC294"/>
      </w:rPr>
    </w:lvl>
    <w:lvl w:ilvl="2">
      <w:start w:val="1"/>
      <w:numFmt w:val="decimal"/>
      <w:lvlText w:val="%1.%2.%3."/>
      <w:lvlJc w:val="left"/>
      <w:pPr>
        <w:ind w:left="1224" w:hanging="504"/>
      </w:pPr>
      <w:rPr>
        <w:rFonts w:hint="default"/>
        <w:color w:val="7F7F7F" w:themeColor="text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57D672"/>
    <w:multiLevelType w:val="hybridMultilevel"/>
    <w:tmpl w:val="2F60EB62"/>
    <w:lvl w:ilvl="0" w:tplc="AB265D9C">
      <w:start w:val="1"/>
      <w:numFmt w:val="bullet"/>
      <w:lvlText w:val=""/>
      <w:lvlJc w:val="left"/>
      <w:pPr>
        <w:ind w:left="720" w:hanging="360"/>
      </w:pPr>
      <w:rPr>
        <w:rFonts w:ascii="Symbol" w:hAnsi="Symbol" w:hint="default"/>
      </w:rPr>
    </w:lvl>
    <w:lvl w:ilvl="1" w:tplc="C45E06CC">
      <w:start w:val="1"/>
      <w:numFmt w:val="bullet"/>
      <w:lvlText w:val="o"/>
      <w:lvlJc w:val="left"/>
      <w:pPr>
        <w:ind w:left="1440" w:hanging="360"/>
      </w:pPr>
      <w:rPr>
        <w:rFonts w:ascii="Courier New" w:hAnsi="Courier New" w:hint="default"/>
      </w:rPr>
    </w:lvl>
    <w:lvl w:ilvl="2" w:tplc="333CD97C">
      <w:start w:val="1"/>
      <w:numFmt w:val="bullet"/>
      <w:lvlText w:val=""/>
      <w:lvlJc w:val="left"/>
      <w:pPr>
        <w:ind w:left="2160" w:hanging="360"/>
      </w:pPr>
      <w:rPr>
        <w:rFonts w:ascii="Wingdings" w:hAnsi="Wingdings" w:hint="default"/>
      </w:rPr>
    </w:lvl>
    <w:lvl w:ilvl="3" w:tplc="F0B86E36">
      <w:start w:val="1"/>
      <w:numFmt w:val="bullet"/>
      <w:lvlText w:val=""/>
      <w:lvlJc w:val="left"/>
      <w:pPr>
        <w:ind w:left="2880" w:hanging="360"/>
      </w:pPr>
      <w:rPr>
        <w:rFonts w:ascii="Symbol" w:hAnsi="Symbol" w:hint="default"/>
      </w:rPr>
    </w:lvl>
    <w:lvl w:ilvl="4" w:tplc="AFF03284">
      <w:start w:val="1"/>
      <w:numFmt w:val="bullet"/>
      <w:lvlText w:val="o"/>
      <w:lvlJc w:val="left"/>
      <w:pPr>
        <w:ind w:left="3600" w:hanging="360"/>
      </w:pPr>
      <w:rPr>
        <w:rFonts w:ascii="Courier New" w:hAnsi="Courier New" w:hint="default"/>
      </w:rPr>
    </w:lvl>
    <w:lvl w:ilvl="5" w:tplc="52B8B958">
      <w:start w:val="1"/>
      <w:numFmt w:val="bullet"/>
      <w:lvlText w:val=""/>
      <w:lvlJc w:val="left"/>
      <w:pPr>
        <w:ind w:left="4320" w:hanging="360"/>
      </w:pPr>
      <w:rPr>
        <w:rFonts w:ascii="Wingdings" w:hAnsi="Wingdings" w:hint="default"/>
      </w:rPr>
    </w:lvl>
    <w:lvl w:ilvl="6" w:tplc="DB666FDE">
      <w:start w:val="1"/>
      <w:numFmt w:val="bullet"/>
      <w:lvlText w:val=""/>
      <w:lvlJc w:val="left"/>
      <w:pPr>
        <w:ind w:left="5040" w:hanging="360"/>
      </w:pPr>
      <w:rPr>
        <w:rFonts w:ascii="Symbol" w:hAnsi="Symbol" w:hint="default"/>
      </w:rPr>
    </w:lvl>
    <w:lvl w:ilvl="7" w:tplc="1FC8B478">
      <w:start w:val="1"/>
      <w:numFmt w:val="bullet"/>
      <w:lvlText w:val="o"/>
      <w:lvlJc w:val="left"/>
      <w:pPr>
        <w:ind w:left="5760" w:hanging="360"/>
      </w:pPr>
      <w:rPr>
        <w:rFonts w:ascii="Courier New" w:hAnsi="Courier New" w:hint="default"/>
      </w:rPr>
    </w:lvl>
    <w:lvl w:ilvl="8" w:tplc="EEC8EE62">
      <w:start w:val="1"/>
      <w:numFmt w:val="bullet"/>
      <w:lvlText w:val=""/>
      <w:lvlJc w:val="left"/>
      <w:pPr>
        <w:ind w:left="6480" w:hanging="360"/>
      </w:pPr>
      <w:rPr>
        <w:rFonts w:ascii="Wingdings" w:hAnsi="Wingdings" w:hint="default"/>
      </w:rPr>
    </w:lvl>
  </w:abstractNum>
  <w:abstractNum w:abstractNumId="4" w15:restartNumberingAfterBreak="0">
    <w:nsid w:val="3D9E008E"/>
    <w:multiLevelType w:val="hybridMultilevel"/>
    <w:tmpl w:val="17D0FC1C"/>
    <w:lvl w:ilvl="0" w:tplc="7E1C943C">
      <w:start w:val="1"/>
      <w:numFmt w:val="bullet"/>
      <w:lvlText w:val=""/>
      <w:lvlJc w:val="left"/>
      <w:pPr>
        <w:ind w:left="720" w:hanging="360"/>
      </w:pPr>
      <w:rPr>
        <w:rFonts w:ascii="Symbol" w:hAnsi="Symbol" w:hint="default"/>
      </w:rPr>
    </w:lvl>
    <w:lvl w:ilvl="1" w:tplc="5E3ED452">
      <w:start w:val="1"/>
      <w:numFmt w:val="bullet"/>
      <w:lvlText w:val="o"/>
      <w:lvlJc w:val="left"/>
      <w:pPr>
        <w:ind w:left="1440" w:hanging="360"/>
      </w:pPr>
      <w:rPr>
        <w:rFonts w:ascii="Courier New" w:hAnsi="Courier New" w:hint="default"/>
      </w:rPr>
    </w:lvl>
    <w:lvl w:ilvl="2" w:tplc="CA8E604E">
      <w:start w:val="1"/>
      <w:numFmt w:val="bullet"/>
      <w:lvlText w:val=""/>
      <w:lvlJc w:val="left"/>
      <w:pPr>
        <w:ind w:left="2160" w:hanging="360"/>
      </w:pPr>
      <w:rPr>
        <w:rFonts w:ascii="Wingdings" w:hAnsi="Wingdings" w:hint="default"/>
      </w:rPr>
    </w:lvl>
    <w:lvl w:ilvl="3" w:tplc="FD6EECBE">
      <w:start w:val="1"/>
      <w:numFmt w:val="bullet"/>
      <w:lvlText w:val=""/>
      <w:lvlJc w:val="left"/>
      <w:pPr>
        <w:ind w:left="2880" w:hanging="360"/>
      </w:pPr>
      <w:rPr>
        <w:rFonts w:ascii="Symbol" w:hAnsi="Symbol" w:hint="default"/>
      </w:rPr>
    </w:lvl>
    <w:lvl w:ilvl="4" w:tplc="FA869800">
      <w:start w:val="1"/>
      <w:numFmt w:val="bullet"/>
      <w:lvlText w:val="o"/>
      <w:lvlJc w:val="left"/>
      <w:pPr>
        <w:ind w:left="3600" w:hanging="360"/>
      </w:pPr>
      <w:rPr>
        <w:rFonts w:ascii="Courier New" w:hAnsi="Courier New" w:hint="default"/>
      </w:rPr>
    </w:lvl>
    <w:lvl w:ilvl="5" w:tplc="C9F0B0CC">
      <w:start w:val="1"/>
      <w:numFmt w:val="bullet"/>
      <w:lvlText w:val=""/>
      <w:lvlJc w:val="left"/>
      <w:pPr>
        <w:ind w:left="4320" w:hanging="360"/>
      </w:pPr>
      <w:rPr>
        <w:rFonts w:ascii="Wingdings" w:hAnsi="Wingdings" w:hint="default"/>
      </w:rPr>
    </w:lvl>
    <w:lvl w:ilvl="6" w:tplc="ED4CFF88">
      <w:start w:val="1"/>
      <w:numFmt w:val="bullet"/>
      <w:lvlText w:val=""/>
      <w:lvlJc w:val="left"/>
      <w:pPr>
        <w:ind w:left="5040" w:hanging="360"/>
      </w:pPr>
      <w:rPr>
        <w:rFonts w:ascii="Symbol" w:hAnsi="Symbol" w:hint="default"/>
      </w:rPr>
    </w:lvl>
    <w:lvl w:ilvl="7" w:tplc="AD50415A">
      <w:start w:val="1"/>
      <w:numFmt w:val="bullet"/>
      <w:lvlText w:val="o"/>
      <w:lvlJc w:val="left"/>
      <w:pPr>
        <w:ind w:left="5760" w:hanging="360"/>
      </w:pPr>
      <w:rPr>
        <w:rFonts w:ascii="Courier New" w:hAnsi="Courier New" w:hint="default"/>
      </w:rPr>
    </w:lvl>
    <w:lvl w:ilvl="8" w:tplc="6FAA681C">
      <w:start w:val="1"/>
      <w:numFmt w:val="bullet"/>
      <w:lvlText w:val=""/>
      <w:lvlJc w:val="left"/>
      <w:pPr>
        <w:ind w:left="6480" w:hanging="360"/>
      </w:pPr>
      <w:rPr>
        <w:rFonts w:ascii="Wingdings" w:hAnsi="Wingdings" w:hint="default"/>
      </w:rPr>
    </w:lvl>
  </w:abstractNum>
  <w:abstractNum w:abstractNumId="5" w15:restartNumberingAfterBreak="0">
    <w:nsid w:val="5AFD5F68"/>
    <w:multiLevelType w:val="hybridMultilevel"/>
    <w:tmpl w:val="0714CA46"/>
    <w:lvl w:ilvl="0" w:tplc="78A27A52">
      <w:start w:val="1"/>
      <w:numFmt w:val="bullet"/>
      <w:lvlText w:val=""/>
      <w:lvlJc w:val="left"/>
      <w:pPr>
        <w:ind w:left="720" w:hanging="360"/>
      </w:pPr>
      <w:rPr>
        <w:rFonts w:ascii="Symbol" w:hAnsi="Symbol" w:hint="default"/>
      </w:rPr>
    </w:lvl>
    <w:lvl w:ilvl="1" w:tplc="2E7A806E">
      <w:start w:val="1"/>
      <w:numFmt w:val="bullet"/>
      <w:lvlText w:val="o"/>
      <w:lvlJc w:val="left"/>
      <w:pPr>
        <w:ind w:left="1440" w:hanging="360"/>
      </w:pPr>
      <w:rPr>
        <w:rFonts w:ascii="Courier New" w:hAnsi="Courier New" w:hint="default"/>
      </w:rPr>
    </w:lvl>
    <w:lvl w:ilvl="2" w:tplc="7F5A08DE">
      <w:start w:val="1"/>
      <w:numFmt w:val="bullet"/>
      <w:lvlText w:val=""/>
      <w:lvlJc w:val="left"/>
      <w:pPr>
        <w:ind w:left="2160" w:hanging="360"/>
      </w:pPr>
      <w:rPr>
        <w:rFonts w:ascii="Wingdings" w:hAnsi="Wingdings" w:hint="default"/>
      </w:rPr>
    </w:lvl>
    <w:lvl w:ilvl="3" w:tplc="A1721E84">
      <w:start w:val="1"/>
      <w:numFmt w:val="bullet"/>
      <w:lvlText w:val=""/>
      <w:lvlJc w:val="left"/>
      <w:pPr>
        <w:ind w:left="2880" w:hanging="360"/>
      </w:pPr>
      <w:rPr>
        <w:rFonts w:ascii="Symbol" w:hAnsi="Symbol" w:hint="default"/>
      </w:rPr>
    </w:lvl>
    <w:lvl w:ilvl="4" w:tplc="2C3A1B64">
      <w:start w:val="1"/>
      <w:numFmt w:val="bullet"/>
      <w:lvlText w:val="o"/>
      <w:lvlJc w:val="left"/>
      <w:pPr>
        <w:ind w:left="3600" w:hanging="360"/>
      </w:pPr>
      <w:rPr>
        <w:rFonts w:ascii="Courier New" w:hAnsi="Courier New" w:hint="default"/>
      </w:rPr>
    </w:lvl>
    <w:lvl w:ilvl="5" w:tplc="39500282">
      <w:start w:val="1"/>
      <w:numFmt w:val="bullet"/>
      <w:lvlText w:val=""/>
      <w:lvlJc w:val="left"/>
      <w:pPr>
        <w:ind w:left="4320" w:hanging="360"/>
      </w:pPr>
      <w:rPr>
        <w:rFonts w:ascii="Wingdings" w:hAnsi="Wingdings" w:hint="default"/>
      </w:rPr>
    </w:lvl>
    <w:lvl w:ilvl="6" w:tplc="AC96801A">
      <w:start w:val="1"/>
      <w:numFmt w:val="bullet"/>
      <w:lvlText w:val=""/>
      <w:lvlJc w:val="left"/>
      <w:pPr>
        <w:ind w:left="5040" w:hanging="360"/>
      </w:pPr>
      <w:rPr>
        <w:rFonts w:ascii="Symbol" w:hAnsi="Symbol" w:hint="default"/>
      </w:rPr>
    </w:lvl>
    <w:lvl w:ilvl="7" w:tplc="F17E0964">
      <w:start w:val="1"/>
      <w:numFmt w:val="bullet"/>
      <w:lvlText w:val="o"/>
      <w:lvlJc w:val="left"/>
      <w:pPr>
        <w:ind w:left="5760" w:hanging="360"/>
      </w:pPr>
      <w:rPr>
        <w:rFonts w:ascii="Courier New" w:hAnsi="Courier New" w:hint="default"/>
      </w:rPr>
    </w:lvl>
    <w:lvl w:ilvl="8" w:tplc="BE8EE234">
      <w:start w:val="1"/>
      <w:numFmt w:val="bullet"/>
      <w:lvlText w:val=""/>
      <w:lvlJc w:val="left"/>
      <w:pPr>
        <w:ind w:left="6480" w:hanging="360"/>
      </w:pPr>
      <w:rPr>
        <w:rFonts w:ascii="Wingdings" w:hAnsi="Wingdings" w:hint="default"/>
      </w:rPr>
    </w:lvl>
  </w:abstractNum>
  <w:abstractNum w:abstractNumId="6" w15:restartNumberingAfterBreak="0">
    <w:nsid w:val="7AF44DCE"/>
    <w:multiLevelType w:val="hybridMultilevel"/>
    <w:tmpl w:val="163A06FC"/>
    <w:lvl w:ilvl="0" w:tplc="683C4C9E">
      <w:start w:val="1"/>
      <w:numFmt w:val="bullet"/>
      <w:lvlText w:val=""/>
      <w:lvlJc w:val="left"/>
      <w:pPr>
        <w:ind w:left="720" w:hanging="360"/>
      </w:pPr>
      <w:rPr>
        <w:rFonts w:ascii="Symbol" w:hAnsi="Symbol" w:hint="default"/>
      </w:rPr>
    </w:lvl>
    <w:lvl w:ilvl="1" w:tplc="AEF6AE14">
      <w:start w:val="1"/>
      <w:numFmt w:val="bullet"/>
      <w:lvlText w:val="o"/>
      <w:lvlJc w:val="left"/>
      <w:pPr>
        <w:ind w:left="1440" w:hanging="360"/>
      </w:pPr>
      <w:rPr>
        <w:rFonts w:ascii="Courier New" w:hAnsi="Courier New" w:hint="default"/>
      </w:rPr>
    </w:lvl>
    <w:lvl w:ilvl="2" w:tplc="CF5225B4">
      <w:start w:val="1"/>
      <w:numFmt w:val="bullet"/>
      <w:lvlText w:val=""/>
      <w:lvlJc w:val="left"/>
      <w:pPr>
        <w:ind w:left="2160" w:hanging="360"/>
      </w:pPr>
      <w:rPr>
        <w:rFonts w:ascii="Wingdings" w:hAnsi="Wingdings" w:hint="default"/>
      </w:rPr>
    </w:lvl>
    <w:lvl w:ilvl="3" w:tplc="DBA27016">
      <w:start w:val="1"/>
      <w:numFmt w:val="bullet"/>
      <w:lvlText w:val=""/>
      <w:lvlJc w:val="left"/>
      <w:pPr>
        <w:ind w:left="2880" w:hanging="360"/>
      </w:pPr>
      <w:rPr>
        <w:rFonts w:ascii="Symbol" w:hAnsi="Symbol" w:hint="default"/>
      </w:rPr>
    </w:lvl>
    <w:lvl w:ilvl="4" w:tplc="54ACBA5E">
      <w:start w:val="1"/>
      <w:numFmt w:val="bullet"/>
      <w:lvlText w:val="o"/>
      <w:lvlJc w:val="left"/>
      <w:pPr>
        <w:ind w:left="3600" w:hanging="360"/>
      </w:pPr>
      <w:rPr>
        <w:rFonts w:ascii="Courier New" w:hAnsi="Courier New" w:hint="default"/>
      </w:rPr>
    </w:lvl>
    <w:lvl w:ilvl="5" w:tplc="55C009FA">
      <w:start w:val="1"/>
      <w:numFmt w:val="bullet"/>
      <w:lvlText w:val=""/>
      <w:lvlJc w:val="left"/>
      <w:pPr>
        <w:ind w:left="4320" w:hanging="360"/>
      </w:pPr>
      <w:rPr>
        <w:rFonts w:ascii="Wingdings" w:hAnsi="Wingdings" w:hint="default"/>
      </w:rPr>
    </w:lvl>
    <w:lvl w:ilvl="6" w:tplc="406E0EAA">
      <w:start w:val="1"/>
      <w:numFmt w:val="bullet"/>
      <w:lvlText w:val=""/>
      <w:lvlJc w:val="left"/>
      <w:pPr>
        <w:ind w:left="5040" w:hanging="360"/>
      </w:pPr>
      <w:rPr>
        <w:rFonts w:ascii="Symbol" w:hAnsi="Symbol" w:hint="default"/>
      </w:rPr>
    </w:lvl>
    <w:lvl w:ilvl="7" w:tplc="E7CC2E60">
      <w:start w:val="1"/>
      <w:numFmt w:val="bullet"/>
      <w:lvlText w:val="o"/>
      <w:lvlJc w:val="left"/>
      <w:pPr>
        <w:ind w:left="5760" w:hanging="360"/>
      </w:pPr>
      <w:rPr>
        <w:rFonts w:ascii="Courier New" w:hAnsi="Courier New" w:hint="default"/>
      </w:rPr>
    </w:lvl>
    <w:lvl w:ilvl="8" w:tplc="919A5106">
      <w:start w:val="1"/>
      <w:numFmt w:val="bullet"/>
      <w:lvlText w:val=""/>
      <w:lvlJc w:val="left"/>
      <w:pPr>
        <w:ind w:left="6480" w:hanging="360"/>
      </w:pPr>
      <w:rPr>
        <w:rFonts w:ascii="Wingdings" w:hAnsi="Wingdings" w:hint="default"/>
      </w:rPr>
    </w:lvl>
  </w:abstractNum>
  <w:num w:numId="1" w16cid:durableId="1943420075">
    <w:abstractNumId w:val="1"/>
  </w:num>
  <w:num w:numId="2" w16cid:durableId="1047803432">
    <w:abstractNumId w:val="1"/>
  </w:num>
  <w:num w:numId="3" w16cid:durableId="2046900379">
    <w:abstractNumId w:val="1"/>
  </w:num>
  <w:num w:numId="4" w16cid:durableId="300117863">
    <w:abstractNumId w:val="1"/>
  </w:num>
  <w:num w:numId="5" w16cid:durableId="1217593510">
    <w:abstractNumId w:val="1"/>
  </w:num>
  <w:num w:numId="6" w16cid:durableId="733967907">
    <w:abstractNumId w:val="1"/>
  </w:num>
  <w:num w:numId="7" w16cid:durableId="1356735546">
    <w:abstractNumId w:val="1"/>
  </w:num>
  <w:num w:numId="8" w16cid:durableId="2092660031">
    <w:abstractNumId w:val="5"/>
  </w:num>
  <w:num w:numId="9" w16cid:durableId="1147086313">
    <w:abstractNumId w:val="3"/>
  </w:num>
  <w:num w:numId="10" w16cid:durableId="1790664912">
    <w:abstractNumId w:val="0"/>
  </w:num>
  <w:num w:numId="11" w16cid:durableId="648900990">
    <w:abstractNumId w:val="6"/>
  </w:num>
  <w:num w:numId="12" w16cid:durableId="288166438">
    <w:abstractNumId w:val="4"/>
  </w:num>
  <w:num w:numId="13" w16cid:durableId="106444706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F74"/>
    <w:rsid w:val="000047C9"/>
    <w:rsid w:val="00012E9C"/>
    <w:rsid w:val="00017EA4"/>
    <w:rsid w:val="000B37E4"/>
    <w:rsid w:val="001959C1"/>
    <w:rsid w:val="00196E29"/>
    <w:rsid w:val="00294886"/>
    <w:rsid w:val="00314FF7"/>
    <w:rsid w:val="0035091C"/>
    <w:rsid w:val="00366AE2"/>
    <w:rsid w:val="0037162A"/>
    <w:rsid w:val="00377C1B"/>
    <w:rsid w:val="004762DA"/>
    <w:rsid w:val="004A56DE"/>
    <w:rsid w:val="004A6F74"/>
    <w:rsid w:val="00536698"/>
    <w:rsid w:val="00554CED"/>
    <w:rsid w:val="005E5492"/>
    <w:rsid w:val="00716E8E"/>
    <w:rsid w:val="007C1C66"/>
    <w:rsid w:val="0083464D"/>
    <w:rsid w:val="00871A33"/>
    <w:rsid w:val="008908CD"/>
    <w:rsid w:val="008C3DF1"/>
    <w:rsid w:val="009604BA"/>
    <w:rsid w:val="00960DF7"/>
    <w:rsid w:val="0098762D"/>
    <w:rsid w:val="009951A8"/>
    <w:rsid w:val="009A572E"/>
    <w:rsid w:val="009C48C2"/>
    <w:rsid w:val="009F4FD0"/>
    <w:rsid w:val="00A207AB"/>
    <w:rsid w:val="00A3612C"/>
    <w:rsid w:val="00A50FA3"/>
    <w:rsid w:val="00A91C66"/>
    <w:rsid w:val="00AB05E8"/>
    <w:rsid w:val="00B1119A"/>
    <w:rsid w:val="00B3520A"/>
    <w:rsid w:val="00BA170F"/>
    <w:rsid w:val="00C520B2"/>
    <w:rsid w:val="00CB3F1A"/>
    <w:rsid w:val="00CC7F7D"/>
    <w:rsid w:val="00CF0C78"/>
    <w:rsid w:val="00D10FBE"/>
    <w:rsid w:val="00D24ABF"/>
    <w:rsid w:val="00D63486"/>
    <w:rsid w:val="00DF069F"/>
    <w:rsid w:val="00EB22B8"/>
    <w:rsid w:val="00EC2721"/>
    <w:rsid w:val="00ED39BE"/>
    <w:rsid w:val="00EE1591"/>
    <w:rsid w:val="00FB24D9"/>
    <w:rsid w:val="00FC59F3"/>
    <w:rsid w:val="00FD62CB"/>
    <w:rsid w:val="00FF27A7"/>
    <w:rsid w:val="03B6E684"/>
    <w:rsid w:val="07F6317F"/>
    <w:rsid w:val="0A62D6F0"/>
    <w:rsid w:val="0C527FB1"/>
    <w:rsid w:val="0D56936A"/>
    <w:rsid w:val="0DD741D0"/>
    <w:rsid w:val="15ACF626"/>
    <w:rsid w:val="1692001A"/>
    <w:rsid w:val="175F1EE4"/>
    <w:rsid w:val="17EA83B6"/>
    <w:rsid w:val="19F4E4DB"/>
    <w:rsid w:val="1B412E31"/>
    <w:rsid w:val="1D123321"/>
    <w:rsid w:val="21DEE623"/>
    <w:rsid w:val="246E6D82"/>
    <w:rsid w:val="24A8AE89"/>
    <w:rsid w:val="24C9DD6E"/>
    <w:rsid w:val="261976C6"/>
    <w:rsid w:val="27A3968A"/>
    <w:rsid w:val="27B00AC6"/>
    <w:rsid w:val="28953BAF"/>
    <w:rsid w:val="2B5ECB90"/>
    <w:rsid w:val="2C228835"/>
    <w:rsid w:val="2F37A3AA"/>
    <w:rsid w:val="3274A217"/>
    <w:rsid w:val="366F3C26"/>
    <w:rsid w:val="3CE3E1E8"/>
    <w:rsid w:val="3D6ECC03"/>
    <w:rsid w:val="3F48BEB0"/>
    <w:rsid w:val="406E5498"/>
    <w:rsid w:val="41B07D9D"/>
    <w:rsid w:val="42C99601"/>
    <w:rsid w:val="4888B738"/>
    <w:rsid w:val="4A8EAFDA"/>
    <w:rsid w:val="4F4C2C07"/>
    <w:rsid w:val="55831898"/>
    <w:rsid w:val="57C38FA6"/>
    <w:rsid w:val="5C35EEF9"/>
    <w:rsid w:val="63AC0E2E"/>
    <w:rsid w:val="679720D2"/>
    <w:rsid w:val="68D847FF"/>
    <w:rsid w:val="69004EFD"/>
    <w:rsid w:val="69315ED1"/>
    <w:rsid w:val="6AB2FD8C"/>
    <w:rsid w:val="723B2826"/>
    <w:rsid w:val="736E691A"/>
    <w:rsid w:val="73B24899"/>
    <w:rsid w:val="75E826CF"/>
    <w:rsid w:val="78237A1D"/>
    <w:rsid w:val="793E4D6C"/>
    <w:rsid w:val="7B2EFE09"/>
    <w:rsid w:val="7BADF516"/>
    <w:rsid w:val="7C436C6A"/>
    <w:rsid w:val="7DF2A7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BF5FA"/>
  <w15:chartTrackingRefBased/>
  <w15:docId w15:val="{5ADAFCD1-2CC1-44D1-8C40-9EA597C6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DF7"/>
    <w:pPr>
      <w:jc w:val="both"/>
    </w:pPr>
    <w:rPr>
      <w:rFonts w:ascii="Calibri" w:hAnsi="Calibri"/>
    </w:rPr>
  </w:style>
  <w:style w:type="paragraph" w:styleId="Titre1">
    <w:name w:val="heading 1"/>
    <w:basedOn w:val="Normal"/>
    <w:next w:val="Normal"/>
    <w:link w:val="Titre1Car"/>
    <w:uiPriority w:val="9"/>
    <w:qFormat/>
    <w:rsid w:val="00960DF7"/>
    <w:pPr>
      <w:keepNext/>
      <w:keepLines/>
      <w:numPr>
        <w:numId w:val="7"/>
      </w:numPr>
      <w:spacing w:before="480" w:after="0"/>
      <w:jc w:val="left"/>
      <w:outlineLvl w:val="0"/>
    </w:pPr>
    <w:rPr>
      <w:rFonts w:ascii="Candara" w:eastAsiaTheme="majorEastAsia" w:hAnsi="Candara" w:cstheme="majorBidi"/>
      <w:b/>
      <w:bCs/>
      <w:color w:val="7F7F7F" w:themeColor="text2"/>
      <w:sz w:val="36"/>
      <w:szCs w:val="52"/>
    </w:rPr>
  </w:style>
  <w:style w:type="paragraph" w:styleId="Titre2">
    <w:name w:val="heading 2"/>
    <w:basedOn w:val="Normal"/>
    <w:next w:val="Normal"/>
    <w:link w:val="Titre2Car"/>
    <w:uiPriority w:val="9"/>
    <w:unhideWhenUsed/>
    <w:qFormat/>
    <w:rsid w:val="00960DF7"/>
    <w:pPr>
      <w:keepNext/>
      <w:keepLines/>
      <w:numPr>
        <w:ilvl w:val="1"/>
        <w:numId w:val="7"/>
      </w:numPr>
      <w:spacing w:before="200" w:after="0"/>
      <w:outlineLvl w:val="1"/>
    </w:pPr>
    <w:rPr>
      <w:rFonts w:ascii="Candara" w:eastAsiaTheme="majorEastAsia" w:hAnsi="Candara" w:cstheme="majorBidi"/>
      <w:b/>
      <w:bCs/>
      <w:color w:val="FC866F" w:themeColor="accent1"/>
      <w:sz w:val="32"/>
      <w:szCs w:val="26"/>
    </w:rPr>
  </w:style>
  <w:style w:type="paragraph" w:styleId="Titre3">
    <w:name w:val="heading 3"/>
    <w:basedOn w:val="Normal"/>
    <w:next w:val="Normal"/>
    <w:link w:val="Titre3Car"/>
    <w:uiPriority w:val="9"/>
    <w:unhideWhenUsed/>
    <w:qFormat/>
    <w:rsid w:val="00960DF7"/>
    <w:pPr>
      <w:keepNext/>
      <w:keepLines/>
      <w:numPr>
        <w:ilvl w:val="2"/>
        <w:numId w:val="7"/>
      </w:numPr>
      <w:spacing w:before="200" w:after="0"/>
      <w:outlineLvl w:val="2"/>
    </w:pPr>
    <w:rPr>
      <w:rFonts w:ascii="Candara" w:eastAsiaTheme="majorEastAsia" w:hAnsi="Candara" w:cstheme="majorBidi"/>
      <w:b/>
      <w:bCs/>
      <w:color w:val="7F7F7F" w:themeColor="text2"/>
    </w:rPr>
  </w:style>
  <w:style w:type="paragraph" w:styleId="Titre4">
    <w:name w:val="heading 4"/>
    <w:basedOn w:val="Normal"/>
    <w:next w:val="Normal"/>
    <w:link w:val="Titre4Car"/>
    <w:uiPriority w:val="9"/>
    <w:unhideWhenUsed/>
    <w:qFormat/>
    <w:rsid w:val="00960DF7"/>
    <w:pPr>
      <w:keepNext/>
      <w:keepLines/>
      <w:numPr>
        <w:ilvl w:val="3"/>
        <w:numId w:val="7"/>
      </w:numPr>
      <w:spacing w:before="200" w:after="0"/>
      <w:outlineLvl w:val="3"/>
    </w:pPr>
    <w:rPr>
      <w:rFonts w:ascii="Candara" w:eastAsiaTheme="majorEastAsia" w:hAnsi="Candara" w:cstheme="majorBidi"/>
      <w:bCs/>
      <w:i/>
      <w:iCs/>
      <w:color w:val="FC866F" w:themeColor="accent1"/>
    </w:rPr>
  </w:style>
  <w:style w:type="paragraph" w:styleId="Titre5">
    <w:name w:val="heading 5"/>
    <w:basedOn w:val="Normal"/>
    <w:next w:val="Normal"/>
    <w:link w:val="Titre5Car"/>
    <w:uiPriority w:val="9"/>
    <w:unhideWhenUsed/>
    <w:qFormat/>
    <w:rsid w:val="00960DF7"/>
    <w:pPr>
      <w:keepNext/>
      <w:keepLines/>
      <w:numPr>
        <w:ilvl w:val="4"/>
        <w:numId w:val="1"/>
      </w:numPr>
      <w:spacing w:before="200" w:after="0"/>
      <w:outlineLvl w:val="4"/>
    </w:pPr>
    <w:rPr>
      <w:rFonts w:ascii="Candara" w:eastAsiaTheme="majorEastAsia" w:hAnsi="Candara" w:cstheme="majorBidi"/>
      <w:i/>
      <w:color w:val="215076" w:themeColor="accent2"/>
    </w:rPr>
  </w:style>
  <w:style w:type="paragraph" w:styleId="Titre6">
    <w:name w:val="heading 6"/>
    <w:basedOn w:val="Normal"/>
    <w:next w:val="Normal"/>
    <w:link w:val="Titre6Car"/>
    <w:uiPriority w:val="9"/>
    <w:semiHidden/>
    <w:unhideWhenUsed/>
    <w:qFormat/>
    <w:rsid w:val="00960DF7"/>
    <w:pPr>
      <w:keepNext/>
      <w:keepLines/>
      <w:spacing w:before="40" w:after="0"/>
      <w:outlineLvl w:val="5"/>
    </w:pPr>
    <w:rPr>
      <w:rFonts w:ascii="Candara" w:eastAsiaTheme="majorEastAsia" w:hAnsi="Candara" w:cstheme="majorBidi"/>
      <w:color w:val="35B0E6" w:themeColor="accent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DF7"/>
    <w:rPr>
      <w:rFonts w:ascii="Candara" w:eastAsiaTheme="majorEastAsia" w:hAnsi="Candara" w:cstheme="majorBidi"/>
      <w:b/>
      <w:bCs/>
      <w:color w:val="7F7F7F" w:themeColor="text2"/>
    </w:rPr>
  </w:style>
  <w:style w:type="character" w:customStyle="1" w:styleId="Titre1Car">
    <w:name w:val="Titre 1 Car"/>
    <w:basedOn w:val="Policepardfaut"/>
    <w:link w:val="Titre1"/>
    <w:uiPriority w:val="9"/>
    <w:rsid w:val="00960DF7"/>
    <w:rPr>
      <w:rFonts w:ascii="Candara" w:eastAsiaTheme="majorEastAsia" w:hAnsi="Candara" w:cstheme="majorBidi"/>
      <w:b/>
      <w:bCs/>
      <w:color w:val="7F7F7F" w:themeColor="text2"/>
      <w:sz w:val="36"/>
      <w:szCs w:val="52"/>
    </w:rPr>
  </w:style>
  <w:style w:type="character" w:customStyle="1" w:styleId="Titre2Car">
    <w:name w:val="Titre 2 Car"/>
    <w:basedOn w:val="Policepardfaut"/>
    <w:link w:val="Titre2"/>
    <w:uiPriority w:val="9"/>
    <w:rsid w:val="00960DF7"/>
    <w:rPr>
      <w:rFonts w:ascii="Candara" w:eastAsiaTheme="majorEastAsia" w:hAnsi="Candara" w:cstheme="majorBidi"/>
      <w:b/>
      <w:bCs/>
      <w:color w:val="FC866F" w:themeColor="accent1"/>
      <w:sz w:val="32"/>
      <w:szCs w:val="26"/>
    </w:rPr>
  </w:style>
  <w:style w:type="character" w:customStyle="1" w:styleId="Titre4Car">
    <w:name w:val="Titre 4 Car"/>
    <w:basedOn w:val="Policepardfaut"/>
    <w:link w:val="Titre4"/>
    <w:uiPriority w:val="9"/>
    <w:rsid w:val="00960DF7"/>
    <w:rPr>
      <w:rFonts w:ascii="Candara" w:eastAsiaTheme="majorEastAsia" w:hAnsi="Candara" w:cstheme="majorBidi"/>
      <w:bCs/>
      <w:i/>
      <w:iCs/>
      <w:color w:val="FC866F" w:themeColor="accent1"/>
    </w:rPr>
  </w:style>
  <w:style w:type="character" w:customStyle="1" w:styleId="Titre5Car">
    <w:name w:val="Titre 5 Car"/>
    <w:basedOn w:val="Policepardfaut"/>
    <w:link w:val="Titre5"/>
    <w:uiPriority w:val="9"/>
    <w:rsid w:val="00960DF7"/>
    <w:rPr>
      <w:rFonts w:ascii="Candara" w:eastAsiaTheme="majorEastAsia" w:hAnsi="Candara" w:cstheme="majorBidi"/>
      <w:i/>
      <w:color w:val="215076" w:themeColor="accent2"/>
    </w:rPr>
  </w:style>
  <w:style w:type="paragraph" w:styleId="En-tte">
    <w:name w:val="header"/>
    <w:basedOn w:val="Normal"/>
    <w:link w:val="En-tteCar"/>
    <w:uiPriority w:val="99"/>
    <w:unhideWhenUsed/>
    <w:rsid w:val="00012E9C"/>
    <w:pPr>
      <w:tabs>
        <w:tab w:val="center" w:pos="4536"/>
        <w:tab w:val="right" w:pos="9072"/>
      </w:tabs>
      <w:spacing w:after="0" w:line="240" w:lineRule="auto"/>
    </w:pPr>
  </w:style>
  <w:style w:type="character" w:customStyle="1" w:styleId="En-tteCar">
    <w:name w:val="En-tête Car"/>
    <w:basedOn w:val="Policepardfaut"/>
    <w:link w:val="En-tte"/>
    <w:uiPriority w:val="99"/>
    <w:rsid w:val="00012E9C"/>
    <w:rPr>
      <w:rFonts w:asciiTheme="majorHAnsi" w:hAnsiTheme="majorHAnsi"/>
    </w:rPr>
  </w:style>
  <w:style w:type="paragraph" w:styleId="Pieddepage">
    <w:name w:val="footer"/>
    <w:basedOn w:val="Normal"/>
    <w:link w:val="PieddepageCar"/>
    <w:uiPriority w:val="99"/>
    <w:unhideWhenUsed/>
    <w:rsid w:val="00012E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E9C"/>
    <w:rPr>
      <w:rFonts w:asciiTheme="majorHAnsi" w:hAnsiTheme="majorHAnsi"/>
    </w:rPr>
  </w:style>
  <w:style w:type="table" w:styleId="TableauGrille4-Accentuation5">
    <w:name w:val="Grid Table 4 Accent 5"/>
    <w:basedOn w:val="TableauNormal"/>
    <w:uiPriority w:val="49"/>
    <w:rsid w:val="0098762D"/>
    <w:pPr>
      <w:spacing w:after="0" w:line="240" w:lineRule="auto"/>
      <w:jc w:val="center"/>
    </w:pPr>
    <w:tblPr>
      <w:tblStyleRowBandSize w:val="1"/>
      <w:tblStyleColBandSize w:val="1"/>
      <w:jc w:val="center"/>
      <w:tblBorders>
        <w:top w:val="single" w:sz="4" w:space="0" w:color="6F7899"/>
        <w:left w:val="single" w:sz="4" w:space="0" w:color="6F7899"/>
        <w:bottom w:val="single" w:sz="4" w:space="0" w:color="6F7899"/>
        <w:right w:val="single" w:sz="4" w:space="0" w:color="6F7899"/>
        <w:insideH w:val="single" w:sz="4" w:space="0" w:color="6F7899"/>
        <w:insideV w:val="single" w:sz="4" w:space="0" w:color="6F7899"/>
      </w:tblBorders>
    </w:tblPr>
    <w:trPr>
      <w:jc w:val="center"/>
    </w:trPr>
    <w:tcPr>
      <w:shd w:val="clear" w:color="auto" w:fill="6F7899"/>
      <w:vAlign w:val="center"/>
    </w:tcPr>
    <w:tblStylePr w:type="firstRow">
      <w:rPr>
        <w:b/>
        <w:bCs/>
        <w:color w:val="FFFFFF" w:themeColor="background1"/>
      </w:rPr>
      <w:tblPr/>
      <w:tcPr>
        <w:tcBorders>
          <w:top w:val="single" w:sz="4" w:space="0" w:color="7F7F7F" w:themeColor="accent5"/>
          <w:left w:val="single" w:sz="4" w:space="0" w:color="7F7F7F" w:themeColor="accent5"/>
          <w:bottom w:val="single" w:sz="4" w:space="0" w:color="7F7F7F" w:themeColor="accent5"/>
          <w:right w:val="single" w:sz="4" w:space="0" w:color="7F7F7F" w:themeColor="accent5"/>
          <w:insideH w:val="nil"/>
          <w:insideV w:val="nil"/>
        </w:tcBorders>
        <w:shd w:val="clear" w:color="auto" w:fill="7F7F7F" w:themeFill="accent5"/>
      </w:tcPr>
    </w:tblStylePr>
    <w:tblStylePr w:type="lastRow">
      <w:rPr>
        <w:b/>
        <w:bCs/>
      </w:rPr>
      <w:tblPr/>
      <w:tcPr>
        <w:tcBorders>
          <w:top w:val="double" w:sz="4" w:space="0" w:color="7F7F7F" w:themeColor="accent5"/>
        </w:tcBorders>
      </w:tcPr>
    </w:tblStylePr>
    <w:tblStylePr w:type="firstCol">
      <w:rPr>
        <w:b/>
        <w:bCs/>
      </w:rPr>
    </w:tblStylePr>
    <w:tblStylePr w:type="lastCol">
      <w:rPr>
        <w:b/>
        <w:bCs/>
      </w:rPr>
    </w:tblStylePr>
    <w:tblStylePr w:type="band1Vert">
      <w:tblPr/>
      <w:tcPr>
        <w:shd w:val="clear" w:color="auto" w:fill="E5E5E5" w:themeFill="accent5" w:themeFillTint="33"/>
      </w:tcPr>
    </w:tblStylePr>
    <w:tblStylePr w:type="band1Horz">
      <w:tblPr/>
      <w:tcPr>
        <w:shd w:val="clear" w:color="auto" w:fill="E5E5E5" w:themeFill="accent5" w:themeFillTint="33"/>
      </w:tcPr>
    </w:tblStylePr>
  </w:style>
  <w:style w:type="character" w:styleId="Lienhypertexte">
    <w:name w:val="Hyperlink"/>
    <w:uiPriority w:val="99"/>
    <w:semiHidden/>
    <w:unhideWhenUsed/>
    <w:rsid w:val="00B1119A"/>
    <w:rPr>
      <w:color w:val="0000FF"/>
      <w:u w:val="single"/>
    </w:rPr>
  </w:style>
  <w:style w:type="paragraph" w:customStyle="1" w:styleId="Versiontitre">
    <w:name w:val="Version titre"/>
    <w:basedOn w:val="Normal"/>
    <w:next w:val="Normal"/>
    <w:link w:val="VersiontitreCar"/>
    <w:qFormat/>
    <w:rsid w:val="00960DF7"/>
    <w:pPr>
      <w:jc w:val="center"/>
    </w:pPr>
    <w:rPr>
      <w:color w:val="35B0E6" w:themeColor="accent3"/>
    </w:rPr>
  </w:style>
  <w:style w:type="character" w:customStyle="1" w:styleId="VersiontitreCar">
    <w:name w:val="Version titre Car"/>
    <w:basedOn w:val="Policepardfaut"/>
    <w:link w:val="Versiontitre"/>
    <w:rsid w:val="00960DF7"/>
    <w:rPr>
      <w:rFonts w:ascii="Calibri" w:hAnsi="Calibri"/>
      <w:color w:val="35B0E6" w:themeColor="accent3"/>
    </w:rPr>
  </w:style>
  <w:style w:type="paragraph" w:customStyle="1" w:styleId="Entte">
    <w:name w:val="Entête"/>
    <w:basedOn w:val="Normal"/>
    <w:link w:val="EntteCar"/>
    <w:qFormat/>
    <w:rsid w:val="00960DF7"/>
    <w:pPr>
      <w:shd w:val="clear" w:color="auto" w:fill="7F7F7F" w:themeFill="text2"/>
      <w:jc w:val="center"/>
    </w:pPr>
    <w:rPr>
      <w:rFonts w:ascii="Candara" w:hAnsi="Candara"/>
      <w:b/>
      <w:color w:val="FFFFFF" w:themeColor="background1"/>
      <w:sz w:val="44"/>
      <w:szCs w:val="44"/>
    </w:rPr>
  </w:style>
  <w:style w:type="character" w:customStyle="1" w:styleId="EntteCar">
    <w:name w:val="Entête Car"/>
    <w:basedOn w:val="Policepardfaut"/>
    <w:link w:val="Entte"/>
    <w:rsid w:val="00960DF7"/>
    <w:rPr>
      <w:rFonts w:ascii="Candara" w:hAnsi="Candara"/>
      <w:b/>
      <w:color w:val="FFFFFF" w:themeColor="background1"/>
      <w:sz w:val="44"/>
      <w:szCs w:val="44"/>
      <w:shd w:val="clear" w:color="auto" w:fill="7F7F7F" w:themeFill="text2"/>
    </w:rPr>
  </w:style>
  <w:style w:type="paragraph" w:customStyle="1" w:styleId="Code">
    <w:name w:val="Code"/>
    <w:basedOn w:val="Normal"/>
    <w:link w:val="CodeCar"/>
    <w:qFormat/>
    <w:rsid w:val="00960DF7"/>
    <w:pPr>
      <w:pBdr>
        <w:top w:val="single" w:sz="4" w:space="1" w:color="auto" w:shadow="1"/>
        <w:left w:val="single" w:sz="4" w:space="4" w:color="auto" w:shadow="1"/>
        <w:bottom w:val="single" w:sz="4" w:space="1" w:color="auto" w:shadow="1"/>
        <w:right w:val="single" w:sz="4" w:space="4" w:color="auto" w:shadow="1"/>
      </w:pBdr>
      <w:shd w:val="pct12" w:color="auto" w:fill="auto"/>
      <w:spacing w:before="200"/>
      <w:ind w:left="708"/>
    </w:pPr>
    <w:rPr>
      <w:rFonts w:ascii="Courier" w:eastAsiaTheme="minorEastAsia" w:hAnsi="Courier"/>
      <w:sz w:val="18"/>
      <w:szCs w:val="20"/>
      <w14:textOutline w14:w="9525" w14:cap="rnd" w14:cmpd="sng" w14:algn="ctr">
        <w14:noFill/>
        <w14:prstDash w14:val="solid"/>
        <w14:bevel/>
      </w14:textOutline>
    </w:rPr>
  </w:style>
  <w:style w:type="character" w:customStyle="1" w:styleId="CodeCar">
    <w:name w:val="Code Car"/>
    <w:basedOn w:val="Policepardfaut"/>
    <w:link w:val="Code"/>
    <w:rsid w:val="00960DF7"/>
    <w:rPr>
      <w:rFonts w:ascii="Courier" w:eastAsiaTheme="minorEastAsia" w:hAnsi="Courier"/>
      <w:sz w:val="18"/>
      <w:szCs w:val="20"/>
      <w:shd w:val="pct12" w:color="auto" w:fill="auto"/>
      <w14:textOutline w14:w="9525" w14:cap="rnd" w14:cmpd="sng" w14:algn="ctr">
        <w14:noFill/>
        <w14:prstDash w14:val="solid"/>
        <w14:bevel/>
      </w14:textOutline>
    </w:rPr>
  </w:style>
  <w:style w:type="paragraph" w:customStyle="1" w:styleId="Titretableau">
    <w:name w:val="Titre tableau"/>
    <w:basedOn w:val="Normal"/>
    <w:link w:val="TitretableauCar"/>
    <w:qFormat/>
    <w:rsid w:val="00960DF7"/>
    <w:pPr>
      <w:spacing w:after="0" w:line="240" w:lineRule="auto"/>
      <w:jc w:val="center"/>
    </w:pPr>
    <w:rPr>
      <w:rFonts w:ascii="Candara" w:hAnsi="Candara"/>
      <w:color w:val="FFFFFF" w:themeColor="background1"/>
      <w:sz w:val="28"/>
      <w:szCs w:val="28"/>
    </w:rPr>
  </w:style>
  <w:style w:type="character" w:customStyle="1" w:styleId="TitretableauCar">
    <w:name w:val="Titre tableau Car"/>
    <w:basedOn w:val="Policepardfaut"/>
    <w:link w:val="Titretableau"/>
    <w:rsid w:val="00960DF7"/>
    <w:rPr>
      <w:rFonts w:ascii="Candara" w:hAnsi="Candara"/>
      <w:color w:val="FFFFFF" w:themeColor="background1"/>
      <w:sz w:val="28"/>
      <w:szCs w:val="28"/>
    </w:rPr>
  </w:style>
  <w:style w:type="paragraph" w:customStyle="1" w:styleId="sous-titretableau">
    <w:name w:val="sous-titre tableau"/>
    <w:basedOn w:val="Normal"/>
    <w:link w:val="sous-titretableauCar"/>
    <w:qFormat/>
    <w:rsid w:val="00960DF7"/>
    <w:pPr>
      <w:spacing w:after="0" w:line="240" w:lineRule="auto"/>
      <w:jc w:val="center"/>
    </w:pPr>
    <w:rPr>
      <w:rFonts w:ascii="Candara" w:hAnsi="Candara"/>
      <w:b/>
      <w:color w:val="7F7F7F" w:themeColor="text2"/>
      <w:sz w:val="20"/>
      <w:szCs w:val="20"/>
    </w:rPr>
  </w:style>
  <w:style w:type="character" w:customStyle="1" w:styleId="sous-titretableauCar">
    <w:name w:val="sous-titre tableau Car"/>
    <w:basedOn w:val="Policepardfaut"/>
    <w:link w:val="sous-titretableau"/>
    <w:rsid w:val="00960DF7"/>
    <w:rPr>
      <w:rFonts w:ascii="Candara" w:hAnsi="Candara"/>
      <w:b/>
      <w:color w:val="7F7F7F" w:themeColor="text2"/>
      <w:sz w:val="20"/>
      <w:szCs w:val="20"/>
    </w:rPr>
  </w:style>
  <w:style w:type="character" w:customStyle="1" w:styleId="Titre6Car">
    <w:name w:val="Titre 6 Car"/>
    <w:basedOn w:val="Policepardfaut"/>
    <w:link w:val="Titre6"/>
    <w:uiPriority w:val="9"/>
    <w:semiHidden/>
    <w:rsid w:val="00960DF7"/>
    <w:rPr>
      <w:rFonts w:ascii="Candara" w:eastAsiaTheme="majorEastAsia" w:hAnsi="Candara" w:cstheme="majorBidi"/>
      <w:color w:val="35B0E6" w:themeColor="accent3"/>
    </w:rPr>
  </w:style>
  <w:style w:type="paragraph" w:styleId="TM1">
    <w:name w:val="toc 1"/>
    <w:basedOn w:val="Normal"/>
    <w:next w:val="Normal"/>
    <w:autoRedefine/>
    <w:uiPriority w:val="39"/>
    <w:unhideWhenUsed/>
    <w:qFormat/>
    <w:rsid w:val="00960DF7"/>
    <w:pPr>
      <w:tabs>
        <w:tab w:val="left" w:pos="284"/>
        <w:tab w:val="left" w:pos="480"/>
        <w:tab w:val="right" w:leader="dot" w:pos="9062"/>
      </w:tabs>
      <w:spacing w:before="360" w:after="0" w:line="240" w:lineRule="auto"/>
    </w:pPr>
    <w:rPr>
      <w:rFonts w:ascii="Candara" w:eastAsia="Times New Roman" w:hAnsi="Candara" w:cs="Times New Roman"/>
      <w:b/>
      <w:bCs/>
      <w:caps/>
      <w:noProof/>
      <w:color w:val="7F7F7F" w:themeColor="text2"/>
      <w:sz w:val="28"/>
      <w:szCs w:val="28"/>
      <w:lang w:eastAsia="fr-FR"/>
    </w:rPr>
  </w:style>
  <w:style w:type="paragraph" w:styleId="TM2">
    <w:name w:val="toc 2"/>
    <w:basedOn w:val="Normal"/>
    <w:next w:val="Normal"/>
    <w:autoRedefine/>
    <w:uiPriority w:val="39"/>
    <w:unhideWhenUsed/>
    <w:qFormat/>
    <w:rsid w:val="00960DF7"/>
    <w:pPr>
      <w:tabs>
        <w:tab w:val="left" w:pos="480"/>
        <w:tab w:val="right" w:leader="dot" w:pos="9062"/>
      </w:tabs>
      <w:spacing w:before="240" w:after="0" w:line="240" w:lineRule="auto"/>
    </w:pPr>
    <w:rPr>
      <w:rFonts w:ascii="Candara" w:eastAsia="Times New Roman" w:hAnsi="Candara" w:cs="Times New Roman"/>
      <w:b/>
      <w:bCs/>
      <w:noProof/>
      <w:color w:val="FC866F" w:themeColor="accent1"/>
      <w:sz w:val="24"/>
      <w:szCs w:val="28"/>
      <w:lang w:eastAsia="fr-FR"/>
    </w:rPr>
  </w:style>
  <w:style w:type="paragraph" w:styleId="TM3">
    <w:name w:val="toc 3"/>
    <w:basedOn w:val="Normal"/>
    <w:next w:val="Normal"/>
    <w:autoRedefine/>
    <w:uiPriority w:val="39"/>
    <w:unhideWhenUsed/>
    <w:qFormat/>
    <w:rsid w:val="00960DF7"/>
    <w:pPr>
      <w:tabs>
        <w:tab w:val="left" w:pos="660"/>
        <w:tab w:val="right" w:leader="dot" w:pos="9062"/>
      </w:tabs>
      <w:spacing w:after="0" w:line="240" w:lineRule="auto"/>
    </w:pPr>
    <w:rPr>
      <w:rFonts w:ascii="Candara" w:eastAsia="Times New Roman" w:hAnsi="Candara" w:cs="Times New Roman"/>
      <w:noProof/>
      <w:color w:val="7F7F7F" w:themeColor="text2"/>
      <w:sz w:val="20"/>
      <w:szCs w:val="20"/>
      <w:lang w:eastAsia="fr-FR"/>
    </w:rPr>
  </w:style>
  <w:style w:type="paragraph" w:styleId="Titre">
    <w:name w:val="Title"/>
    <w:basedOn w:val="Normal"/>
    <w:next w:val="Normal"/>
    <w:link w:val="TitreCar"/>
    <w:uiPriority w:val="10"/>
    <w:qFormat/>
    <w:rsid w:val="00960DF7"/>
    <w:pPr>
      <w:spacing w:after="0" w:line="240" w:lineRule="auto"/>
      <w:jc w:val="center"/>
    </w:pPr>
    <w:rPr>
      <w:rFonts w:ascii="Candara" w:hAnsi="Candara"/>
      <w:b/>
      <w:color w:val="7F7F7F" w:themeColor="text2"/>
      <w:sz w:val="48"/>
    </w:rPr>
  </w:style>
  <w:style w:type="character" w:customStyle="1" w:styleId="TitreCar">
    <w:name w:val="Titre Car"/>
    <w:basedOn w:val="Policepardfaut"/>
    <w:link w:val="Titre"/>
    <w:uiPriority w:val="10"/>
    <w:rsid w:val="00960DF7"/>
    <w:rPr>
      <w:rFonts w:ascii="Candara" w:hAnsi="Candara"/>
      <w:b/>
      <w:color w:val="7F7F7F" w:themeColor="text2"/>
      <w:sz w:val="48"/>
    </w:rPr>
  </w:style>
  <w:style w:type="paragraph" w:styleId="Sous-titre">
    <w:name w:val="Subtitle"/>
    <w:basedOn w:val="Normal"/>
    <w:next w:val="Normal"/>
    <w:link w:val="Sous-titreCar"/>
    <w:uiPriority w:val="11"/>
    <w:qFormat/>
    <w:rsid w:val="00960DF7"/>
    <w:pPr>
      <w:spacing w:before="200"/>
      <w:jc w:val="center"/>
    </w:pPr>
    <w:rPr>
      <w:rFonts w:ascii="Candara" w:hAnsi="Candara"/>
      <w:b/>
      <w:bCs/>
      <w:color w:val="FC866F" w:themeColor="accent1"/>
      <w:sz w:val="40"/>
      <w:szCs w:val="40"/>
    </w:rPr>
  </w:style>
  <w:style w:type="character" w:customStyle="1" w:styleId="Sous-titreCar">
    <w:name w:val="Sous-titre Car"/>
    <w:basedOn w:val="Policepardfaut"/>
    <w:link w:val="Sous-titre"/>
    <w:uiPriority w:val="11"/>
    <w:rsid w:val="00960DF7"/>
    <w:rPr>
      <w:rFonts w:ascii="Candara" w:hAnsi="Candara"/>
      <w:b/>
      <w:bCs/>
      <w:color w:val="FC866F" w:themeColor="accent1"/>
      <w:sz w:val="40"/>
      <w:szCs w:val="40"/>
    </w:rPr>
  </w:style>
  <w:style w:type="paragraph" w:styleId="Sansinterligne">
    <w:name w:val="No Spacing"/>
    <w:uiPriority w:val="1"/>
    <w:qFormat/>
    <w:rsid w:val="00960DF7"/>
    <w:pPr>
      <w:spacing w:after="0" w:line="240" w:lineRule="auto"/>
    </w:pPr>
  </w:style>
  <w:style w:type="paragraph" w:styleId="Paragraphedeliste">
    <w:name w:val="List Paragraph"/>
    <w:aliases w:val="Puces 1er niveau,£3 Paragraph,Puce tableau,Bullet List,FooterText,numbered,lp1,List Paragraph1,List11,Bulletr List Paragraph,列出段落,列出段落1,Liste à puce verte,Resume Title,§norme,Par. de liste1,liste N1,Paragraphe de liste 1,Bullet OSM"/>
    <w:basedOn w:val="Normal"/>
    <w:link w:val="ParagraphedelisteCar"/>
    <w:uiPriority w:val="99"/>
    <w:qFormat/>
    <w:rsid w:val="00960DF7"/>
    <w:pPr>
      <w:ind w:left="720"/>
      <w:contextualSpacing/>
    </w:pPr>
  </w:style>
  <w:style w:type="paragraph" w:styleId="Citationintense">
    <w:name w:val="Intense Quote"/>
    <w:basedOn w:val="Normal"/>
    <w:next w:val="Normal"/>
    <w:link w:val="CitationintenseCar"/>
    <w:uiPriority w:val="30"/>
    <w:qFormat/>
    <w:rsid w:val="00960DF7"/>
    <w:pPr>
      <w:pBdr>
        <w:top w:val="single" w:sz="4" w:space="10" w:color="FC866F" w:themeColor="accent1"/>
        <w:bottom w:val="single" w:sz="4" w:space="10" w:color="FC866F" w:themeColor="accent1"/>
      </w:pBdr>
      <w:spacing w:before="360" w:after="360"/>
      <w:ind w:left="864" w:right="864"/>
      <w:jc w:val="center"/>
    </w:pPr>
    <w:rPr>
      <w:rFonts w:asciiTheme="majorHAnsi" w:hAnsiTheme="majorHAnsi"/>
      <w:i/>
      <w:iCs/>
      <w:color w:val="FC866F" w:themeColor="accent1"/>
    </w:rPr>
  </w:style>
  <w:style w:type="character" w:customStyle="1" w:styleId="CitationintenseCar">
    <w:name w:val="Citation intense Car"/>
    <w:basedOn w:val="Policepardfaut"/>
    <w:link w:val="Citationintense"/>
    <w:uiPriority w:val="30"/>
    <w:rsid w:val="00960DF7"/>
    <w:rPr>
      <w:rFonts w:asciiTheme="majorHAnsi" w:hAnsiTheme="majorHAnsi"/>
      <w:i/>
      <w:iCs/>
      <w:color w:val="FC866F" w:themeColor="accent1"/>
    </w:rPr>
  </w:style>
  <w:style w:type="character" w:styleId="Accentuationintense">
    <w:name w:val="Intense Emphasis"/>
    <w:basedOn w:val="Policepardfaut"/>
    <w:uiPriority w:val="21"/>
    <w:qFormat/>
    <w:rsid w:val="00960DF7"/>
    <w:rPr>
      <w:i/>
      <w:iCs/>
      <w:color w:val="FC866F" w:themeColor="accent1"/>
    </w:rPr>
  </w:style>
  <w:style w:type="character" w:styleId="Rfrencelgre">
    <w:name w:val="Subtle Reference"/>
    <w:basedOn w:val="Policepardfaut"/>
    <w:uiPriority w:val="31"/>
    <w:qFormat/>
    <w:rsid w:val="00960DF7"/>
    <w:rPr>
      <w:smallCaps/>
      <w:color w:val="5A5A5A" w:themeColor="text1" w:themeTint="A5"/>
    </w:rPr>
  </w:style>
  <w:style w:type="character" w:styleId="Rfrenceintense">
    <w:name w:val="Intense Reference"/>
    <w:basedOn w:val="Policepardfaut"/>
    <w:uiPriority w:val="32"/>
    <w:qFormat/>
    <w:rsid w:val="00960DF7"/>
    <w:rPr>
      <w:b/>
      <w:bCs/>
      <w:smallCaps/>
      <w:color w:val="FC866F" w:themeColor="accent1"/>
      <w:spacing w:val="5"/>
    </w:rPr>
  </w:style>
  <w:style w:type="paragraph" w:styleId="En-ttedetabledesmatires">
    <w:name w:val="TOC Heading"/>
    <w:basedOn w:val="Entte"/>
    <w:next w:val="Normal"/>
    <w:uiPriority w:val="39"/>
    <w:unhideWhenUsed/>
    <w:qFormat/>
    <w:rsid w:val="00960DF7"/>
  </w:style>
  <w:style w:type="paragraph" w:customStyle="1" w:styleId="Tableautitre">
    <w:name w:val="Tableau titre"/>
    <w:basedOn w:val="Normal"/>
    <w:link w:val="TableautitreCar"/>
    <w:rsid w:val="008C3DF1"/>
    <w:pPr>
      <w:spacing w:after="0" w:line="240" w:lineRule="auto"/>
      <w:jc w:val="center"/>
    </w:pPr>
    <w:rPr>
      <w:rFonts w:ascii="Candara" w:hAnsi="Candara"/>
      <w:color w:val="FFFFFF" w:themeColor="background1"/>
      <w:sz w:val="28"/>
      <w:szCs w:val="28"/>
    </w:rPr>
  </w:style>
  <w:style w:type="character" w:customStyle="1" w:styleId="TableautitreCar">
    <w:name w:val="Tableau titre Car"/>
    <w:basedOn w:val="Policepardfaut"/>
    <w:link w:val="Tableautitre"/>
    <w:rsid w:val="008C3DF1"/>
    <w:rPr>
      <w:rFonts w:ascii="Candara" w:hAnsi="Candara"/>
      <w:color w:val="FFFFFF" w:themeColor="background1"/>
      <w:sz w:val="28"/>
      <w:szCs w:val="28"/>
    </w:rPr>
  </w:style>
  <w:style w:type="paragraph" w:customStyle="1" w:styleId="Tableauss-titre">
    <w:name w:val="Tableau ss-titre"/>
    <w:basedOn w:val="Normal"/>
    <w:link w:val="Tableauss-titreCar"/>
    <w:rsid w:val="008C3DF1"/>
    <w:pPr>
      <w:spacing w:after="0" w:line="240" w:lineRule="auto"/>
      <w:jc w:val="center"/>
    </w:pPr>
    <w:rPr>
      <w:rFonts w:ascii="Candara" w:hAnsi="Candara"/>
      <w:b/>
      <w:color w:val="7F7F7F" w:themeColor="text2"/>
      <w:sz w:val="20"/>
      <w:szCs w:val="20"/>
    </w:rPr>
  </w:style>
  <w:style w:type="character" w:customStyle="1" w:styleId="Tableauss-titreCar">
    <w:name w:val="Tableau ss-titre Car"/>
    <w:basedOn w:val="Policepardfaut"/>
    <w:link w:val="Tableauss-titre"/>
    <w:rsid w:val="008C3DF1"/>
    <w:rPr>
      <w:rFonts w:ascii="Candara" w:hAnsi="Candara"/>
      <w:b/>
      <w:color w:val="7F7F7F" w:themeColor="text2"/>
      <w:sz w:val="20"/>
      <w:szCs w:val="20"/>
    </w:rPr>
  </w:style>
  <w:style w:type="table" w:styleId="Grilledutableau">
    <w:name w:val="Table Grid"/>
    <w:basedOn w:val="TableauNormal"/>
    <w:uiPriority w:val="59"/>
    <w:rsid w:val="005E5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uces 1er niveau Car,£3 Paragraph Car,Puce tableau Car,Bullet List Car,FooterText Car,numbered Car,lp1 Car,List Paragraph1 Car,List11 Car,Bulletr List Paragraph Car,列出段落 Car,列出段落1 Car,Liste à puce verte Car,Resume Title Car"/>
    <w:link w:val="Paragraphedeliste"/>
    <w:uiPriority w:val="99"/>
    <w:locked/>
    <w:rsid w:val="005E5492"/>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2" Type="http://schemas.openxmlformats.org/officeDocument/2006/relationships/hyperlink" Target="http://www.esante-hdf.fr" TargetMode="External"/><Relationship Id="rId1" Type="http://schemas.openxmlformats.org/officeDocument/2006/relationships/hyperlink" Target="http://www.esante-hdf.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e\Sant&amp;%20Num&#233;rique%20Hauts-de-France\Fichiers%20SNHDF%20-%20Documents\COMMUNICATION\MODELES%20DOCUMENTS%20&amp;%20PROCEDURES\S&amp;N-HdF\Word\Modele%20Word%20Entete%20SNHDF.dotm" TargetMode="External"/></Relationships>
</file>

<file path=word/theme/theme1.xml><?xml version="1.0" encoding="utf-8"?>
<a:theme xmlns:a="http://schemas.openxmlformats.org/drawingml/2006/main" name="Thème Office">
  <a:themeElements>
    <a:clrScheme name="Personnalisé 1">
      <a:dk1>
        <a:srgbClr val="000000"/>
      </a:dk1>
      <a:lt1>
        <a:srgbClr val="FFFFFF"/>
      </a:lt1>
      <a:dk2>
        <a:srgbClr val="7F7F7F"/>
      </a:dk2>
      <a:lt2>
        <a:srgbClr val="8FC2B0"/>
      </a:lt2>
      <a:accent1>
        <a:srgbClr val="FC866F"/>
      </a:accent1>
      <a:accent2>
        <a:srgbClr val="215076"/>
      </a:accent2>
      <a:accent3>
        <a:srgbClr val="35B0E6"/>
      </a:accent3>
      <a:accent4>
        <a:srgbClr val="FC866F"/>
      </a:accent4>
      <a:accent5>
        <a:srgbClr val="7F7F7F"/>
      </a:accent5>
      <a:accent6>
        <a:srgbClr val="F2CE6A"/>
      </a:accent6>
      <a:hlink>
        <a:srgbClr val="35B0E6"/>
      </a:hlink>
      <a:folHlink>
        <a:srgbClr val="BC98C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de1_x00e0_10 xmlns="fab25c85-a1bc-4df9-853d-6f14a6979505">10</Notede1_x00e0_10>
    <lcf76f155ced4ddcb4097134ff3c332f xmlns="fab25c85-a1bc-4df9-853d-6f14a6979505">
      <Terms xmlns="http://schemas.microsoft.com/office/infopath/2007/PartnerControls"/>
    </lcf76f155ced4ddcb4097134ff3c332f>
    <TaxCatchAll xmlns="f23713b0-7a95-4e71-8b8d-6419636c1991" xsi:nil="true"/>
    <_Flow_SignoffStatus xmlns="fab25c85-a1bc-4df9-853d-6f14a69795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866B3E70A8464A92F9B9EB1C3ECB2F" ma:contentTypeVersion="21" ma:contentTypeDescription="Crée un document." ma:contentTypeScope="" ma:versionID="d3da1a9490015660d831c1bc6a9e4965">
  <xsd:schema xmlns:xsd="http://www.w3.org/2001/XMLSchema" xmlns:xs="http://www.w3.org/2001/XMLSchema" xmlns:p="http://schemas.microsoft.com/office/2006/metadata/properties" xmlns:ns2="f23713b0-7a95-4e71-8b8d-6419636c1991" xmlns:ns3="fab25c85-a1bc-4df9-853d-6f14a6979505" targetNamespace="http://schemas.microsoft.com/office/2006/metadata/properties" ma:root="true" ma:fieldsID="0fcca11121b38c2277a3ee9242133607" ns2:_="" ns3:_="">
    <xsd:import namespace="f23713b0-7a95-4e71-8b8d-6419636c1991"/>
    <xsd:import namespace="fab25c85-a1bc-4df9-853d-6f14a69795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Notede1_x00e0_10"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713b0-7a95-4e71-8b8d-6419636c199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ed3c3d5-48ad-47e0-ab88-7f96032a400a}" ma:internalName="TaxCatchAll" ma:showField="CatchAllData" ma:web="f23713b0-7a95-4e71-8b8d-6419636c19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b25c85-a1bc-4df9-853d-6f14a69795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de1_x00e0_10" ma:index="20" nillable="true" ma:displayName="Note de 1 à 10" ma:decimals="1" ma:default="10" ma:format="Dropdown" ma:internalName="Notede1_x00e0_10" ma:percentage="FALSE">
      <xsd:simpleType>
        <xsd:restriction base="dms:Number">
          <xsd:minInclusive value="1"/>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088169bb-0fc7-4c9a-b4ea-413df40878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État de validation" ma:internalName="_x00c9_tat_x0020_de_x0020_validation">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1DC352-DE50-4ACB-9CAA-518CA45D3A90}">
  <ds:schemaRefs>
    <ds:schemaRef ds:uri="http://schemas.microsoft.com/office/2006/metadata/properties"/>
    <ds:schemaRef ds:uri="http://schemas.microsoft.com/office/infopath/2007/PartnerControls"/>
    <ds:schemaRef ds:uri="fab25c85-a1bc-4df9-853d-6f14a6979505"/>
    <ds:schemaRef ds:uri="f23713b0-7a95-4e71-8b8d-6419636c1991"/>
  </ds:schemaRefs>
</ds:datastoreItem>
</file>

<file path=customXml/itemProps2.xml><?xml version="1.0" encoding="utf-8"?>
<ds:datastoreItem xmlns:ds="http://schemas.openxmlformats.org/officeDocument/2006/customXml" ds:itemID="{0871BC99-8F7F-4321-8E95-A9DF13167231}">
  <ds:schemaRefs>
    <ds:schemaRef ds:uri="http://schemas.microsoft.com/sharepoint/v3/contenttype/forms"/>
  </ds:schemaRefs>
</ds:datastoreItem>
</file>

<file path=customXml/itemProps3.xml><?xml version="1.0" encoding="utf-8"?>
<ds:datastoreItem xmlns:ds="http://schemas.openxmlformats.org/officeDocument/2006/customXml" ds:itemID="{1955CA5F-3BFB-4A6E-B0D0-89CC95EA1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713b0-7a95-4e71-8b8d-6419636c1991"/>
    <ds:schemaRef ds:uri="fab25c85-a1bc-4df9-853d-6f14a6979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 Word Entete SNHDF.dotm</Template>
  <TotalTime>0</TotalTime>
  <Pages>5</Pages>
  <Words>1807</Words>
  <Characters>9940</Characters>
  <Application>Microsoft Office Word</Application>
  <DocSecurity>0</DocSecurity>
  <Lines>82</Lines>
  <Paragraphs>23</Paragraphs>
  <ScaleCrop>false</ScaleCrop>
  <Company>GCS ESANTE</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Cavillon;Cédric Boucher</dc:creator>
  <cp:keywords/>
  <dc:description/>
  <cp:lastModifiedBy>Zoé Boudry</cp:lastModifiedBy>
  <cp:revision>2</cp:revision>
  <dcterms:created xsi:type="dcterms:W3CDTF">2025-05-13T07:17:00Z</dcterms:created>
  <dcterms:modified xsi:type="dcterms:W3CDTF">2025-05-13T07:17:00Z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0x01010036866B3E70A8464A92F9B9EB1C3ECB2F</vt:lpwstr>
  </property>
  <property fmtid="{D5CDD505-2E9C-101B-9397-08002B2CF9AE}" pid="3" name="MediaServiceImageTags">
    <vt:lpwstr/>
  </property>
</Properties>
</file>